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2428" w14:textId="545D146D" w:rsidR="008F541F" w:rsidRPr="00F1179C" w:rsidRDefault="00BA4EDF" w:rsidP="00BA33CB">
      <w:pPr>
        <w:spacing w:line="240" w:lineRule="auto"/>
        <w:jc w:val="center"/>
        <w:rPr>
          <w:rFonts w:cs="Calibri"/>
          <w:b/>
          <w:bCs/>
          <w:color w:val="535353"/>
          <w:szCs w:val="20"/>
        </w:rPr>
      </w:pPr>
      <w:r w:rsidRPr="00F1179C">
        <w:rPr>
          <w:rFonts w:cs="Calibri"/>
          <w:b/>
          <w:bCs/>
          <w:color w:val="535353"/>
          <w:sz w:val="24"/>
        </w:rPr>
        <w:t>C</w:t>
      </w:r>
      <w:r w:rsidR="006D5206" w:rsidRPr="00F1179C">
        <w:rPr>
          <w:rFonts w:cs="Calibri"/>
          <w:b/>
          <w:bCs/>
          <w:color w:val="535353"/>
          <w:sz w:val="24"/>
        </w:rPr>
        <w:t>ompte</w:t>
      </w:r>
      <w:r w:rsidRPr="00F1179C">
        <w:rPr>
          <w:rFonts w:cs="Calibri"/>
          <w:b/>
          <w:bCs/>
          <w:color w:val="535353"/>
          <w:sz w:val="24"/>
        </w:rPr>
        <w:t xml:space="preserve"> </w:t>
      </w:r>
      <w:r w:rsidR="006D5206" w:rsidRPr="00F1179C">
        <w:rPr>
          <w:rFonts w:cs="Calibri"/>
          <w:b/>
          <w:bCs/>
          <w:color w:val="535353"/>
          <w:sz w:val="24"/>
        </w:rPr>
        <w:t>rendu</w:t>
      </w:r>
      <w:r w:rsidRPr="00F1179C">
        <w:rPr>
          <w:rFonts w:cs="Calibri"/>
          <w:b/>
          <w:bCs/>
          <w:color w:val="535353"/>
          <w:sz w:val="24"/>
        </w:rPr>
        <w:t xml:space="preserve"> </w:t>
      </w:r>
      <w:r w:rsidR="00442A32" w:rsidRPr="00F1179C">
        <w:rPr>
          <w:rFonts w:cs="Calibri"/>
          <w:b/>
          <w:bCs/>
          <w:color w:val="535353"/>
          <w:sz w:val="24"/>
        </w:rPr>
        <w:t xml:space="preserve">du </w:t>
      </w:r>
      <w:r w:rsidR="001D5FAE" w:rsidRPr="00F1179C">
        <w:rPr>
          <w:rFonts w:cs="Calibri"/>
          <w:b/>
          <w:bCs/>
          <w:color w:val="535353"/>
          <w:sz w:val="24"/>
        </w:rPr>
        <w:t xml:space="preserve">séminaire </w:t>
      </w:r>
      <w:r w:rsidR="00BA33CB" w:rsidRPr="00F1179C">
        <w:rPr>
          <w:rFonts w:cs="Calibri"/>
          <w:b/>
          <w:bCs/>
          <w:color w:val="535353"/>
          <w:sz w:val="24"/>
        </w:rPr>
        <w:t>« </w:t>
      </w:r>
      <w:r w:rsidR="00737C18">
        <w:rPr>
          <w:rFonts w:cs="Calibri"/>
          <w:b/>
          <w:bCs/>
          <w:color w:val="535353"/>
          <w:sz w:val="24"/>
        </w:rPr>
        <w:t>gouvernance et action publique</w:t>
      </w:r>
      <w:r w:rsidR="00BA33CB" w:rsidRPr="00F1179C">
        <w:rPr>
          <w:rFonts w:cs="Calibri"/>
          <w:b/>
          <w:bCs/>
          <w:color w:val="535353"/>
          <w:sz w:val="24"/>
        </w:rPr>
        <w:t> »</w:t>
      </w:r>
    </w:p>
    <w:p w14:paraId="1904040E" w14:textId="77777777" w:rsidR="00BA4EDF" w:rsidRPr="00F1179C" w:rsidRDefault="00BA4EDF" w:rsidP="00A57362">
      <w:pPr>
        <w:spacing w:line="240" w:lineRule="auto"/>
        <w:rPr>
          <w:rFonts w:cs="Calibri"/>
          <w:b/>
          <w:bCs/>
          <w:color w:val="535353"/>
          <w:szCs w:val="20"/>
        </w:rPr>
      </w:pPr>
    </w:p>
    <w:p w14:paraId="38E318F6" w14:textId="77777777" w:rsidR="00014219" w:rsidRPr="00F1179C" w:rsidRDefault="00014219" w:rsidP="00A57362">
      <w:pPr>
        <w:spacing w:line="240" w:lineRule="auto"/>
        <w:rPr>
          <w:rFonts w:cs="Calibri"/>
          <w:b/>
          <w:bCs/>
          <w:color w:val="535353"/>
          <w:szCs w:val="20"/>
        </w:rPr>
      </w:pPr>
    </w:p>
    <w:p w14:paraId="41E8C735" w14:textId="27132C56" w:rsidR="008F541F" w:rsidRPr="003D70B0" w:rsidRDefault="008F541F" w:rsidP="00A57362">
      <w:pPr>
        <w:spacing w:line="240" w:lineRule="auto"/>
        <w:rPr>
          <w:rFonts w:cs="Calibri"/>
          <w:color w:val="535353"/>
          <w:szCs w:val="20"/>
        </w:rPr>
      </w:pPr>
      <w:r w:rsidRPr="003D70B0">
        <w:rPr>
          <w:rFonts w:cs="Calibri"/>
          <w:b/>
          <w:bCs/>
          <w:color w:val="535353"/>
          <w:szCs w:val="20"/>
        </w:rPr>
        <w:t xml:space="preserve">Date </w:t>
      </w:r>
      <w:r w:rsidRPr="003D70B0">
        <w:rPr>
          <w:rFonts w:cs="Calibri"/>
          <w:color w:val="535353"/>
          <w:szCs w:val="20"/>
        </w:rPr>
        <w:t xml:space="preserve">: </w:t>
      </w:r>
      <w:r w:rsidR="00230E09">
        <w:rPr>
          <w:rFonts w:cs="Calibri"/>
          <w:color w:val="535353"/>
          <w:szCs w:val="20"/>
        </w:rPr>
        <w:t>mercredi 6 avril</w:t>
      </w:r>
      <w:r w:rsidR="001D5FAE" w:rsidRPr="003D70B0">
        <w:rPr>
          <w:rFonts w:cs="Calibri"/>
          <w:color w:val="535353"/>
          <w:szCs w:val="20"/>
        </w:rPr>
        <w:t xml:space="preserve"> 2022 de </w:t>
      </w:r>
      <w:r w:rsidR="00230E09">
        <w:rPr>
          <w:rFonts w:cs="Calibri"/>
          <w:color w:val="535353"/>
          <w:szCs w:val="20"/>
        </w:rPr>
        <w:t>14h30</w:t>
      </w:r>
      <w:r w:rsidR="003903F8" w:rsidRPr="003D70B0">
        <w:rPr>
          <w:rFonts w:cs="Calibri"/>
          <w:color w:val="535353"/>
          <w:szCs w:val="20"/>
        </w:rPr>
        <w:t xml:space="preserve"> à 1</w:t>
      </w:r>
      <w:r w:rsidR="00230E09">
        <w:rPr>
          <w:rFonts w:cs="Calibri"/>
          <w:color w:val="535353"/>
          <w:szCs w:val="20"/>
        </w:rPr>
        <w:t>7h10</w:t>
      </w:r>
    </w:p>
    <w:p w14:paraId="186D62BC" w14:textId="4FBDBD1B" w:rsidR="00F400FE" w:rsidRPr="003D70B0" w:rsidRDefault="00F400FE" w:rsidP="00A57362">
      <w:pPr>
        <w:spacing w:line="240" w:lineRule="auto"/>
        <w:rPr>
          <w:rFonts w:cs="Arial"/>
          <w:b/>
          <w:bCs/>
          <w:color w:val="535353"/>
        </w:rPr>
      </w:pPr>
    </w:p>
    <w:p w14:paraId="4799DE5F" w14:textId="6128F444" w:rsidR="00852216" w:rsidRPr="003D70B0" w:rsidRDefault="00852216" w:rsidP="00C31538">
      <w:pPr>
        <w:spacing w:line="240" w:lineRule="auto"/>
        <w:rPr>
          <w:b/>
          <w:bCs/>
          <w:color w:val="535353"/>
        </w:rPr>
      </w:pPr>
    </w:p>
    <w:p w14:paraId="7CDD2016" w14:textId="119120DA" w:rsidR="007F50F2" w:rsidRPr="003D70B0" w:rsidRDefault="007F50F2" w:rsidP="00C31538">
      <w:pPr>
        <w:spacing w:line="240" w:lineRule="auto"/>
        <w:rPr>
          <w:color w:val="535353"/>
        </w:rPr>
      </w:pPr>
      <w:r w:rsidRPr="003D70B0">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07A5F2C3" w14:textId="77777777" w:rsidR="007F50F2" w:rsidRPr="003D70B0" w:rsidRDefault="007F50F2" w:rsidP="00C31538">
      <w:pPr>
        <w:spacing w:line="240" w:lineRule="auto"/>
        <w:rPr>
          <w:color w:val="535353"/>
        </w:rPr>
      </w:pPr>
    </w:p>
    <w:p w14:paraId="045ED2B9" w14:textId="7F4D2624" w:rsidR="007F50F2" w:rsidRPr="003D70B0" w:rsidRDefault="007F50F2" w:rsidP="00C31538">
      <w:pPr>
        <w:spacing w:line="240" w:lineRule="auto"/>
        <w:rPr>
          <w:color w:val="535353"/>
        </w:rPr>
      </w:pPr>
      <w:r w:rsidRPr="003D70B0">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3D70B0" w:rsidRDefault="007F50F2" w:rsidP="00C31538">
      <w:pPr>
        <w:spacing w:line="240" w:lineRule="auto"/>
        <w:rPr>
          <w:color w:val="535353"/>
        </w:rPr>
      </w:pPr>
    </w:p>
    <w:p w14:paraId="472F40CE" w14:textId="2844050E" w:rsidR="007F50F2" w:rsidRPr="003D70B0" w:rsidRDefault="007F50F2" w:rsidP="00C31538">
      <w:pPr>
        <w:spacing w:line="240" w:lineRule="auto"/>
        <w:rPr>
          <w:color w:val="535353"/>
        </w:rPr>
      </w:pPr>
      <w:r w:rsidRPr="003D70B0">
        <w:rPr>
          <w:color w:val="535353"/>
        </w:rPr>
        <w:t>Les points ci-dessous se proposent</w:t>
      </w:r>
      <w:r w:rsidR="00552163" w:rsidRPr="003D70B0">
        <w:rPr>
          <w:color w:val="535353"/>
        </w:rPr>
        <w:t xml:space="preserve"> </w:t>
      </w:r>
      <w:r w:rsidRPr="003D70B0">
        <w:rPr>
          <w:color w:val="535353"/>
        </w:rPr>
        <w:t xml:space="preserve">de </w:t>
      </w:r>
      <w:r w:rsidR="00552163" w:rsidRPr="003D70B0">
        <w:rPr>
          <w:color w:val="535353"/>
        </w:rPr>
        <w:t xml:space="preserve">retranscrire les </w:t>
      </w:r>
      <w:r w:rsidR="00EE5707" w:rsidRPr="003D70B0">
        <w:rPr>
          <w:color w:val="535353"/>
        </w:rPr>
        <w:t>p</w:t>
      </w:r>
      <w:r w:rsidR="00552163" w:rsidRPr="003D70B0">
        <w:rPr>
          <w:color w:val="535353"/>
        </w:rPr>
        <w:t xml:space="preserve">rincipaux enseignements </w:t>
      </w:r>
      <w:r w:rsidR="001D5FAE" w:rsidRPr="003D70B0">
        <w:rPr>
          <w:color w:val="535353"/>
        </w:rPr>
        <w:t>et pistes d’actions</w:t>
      </w:r>
      <w:r w:rsidRPr="003D70B0">
        <w:rPr>
          <w:color w:val="535353"/>
        </w:rPr>
        <w:t xml:space="preserve"> en matière de révision du SRDE2I, ayant émergé du séminaire dédié </w:t>
      </w:r>
      <w:r w:rsidR="00307A2D" w:rsidRPr="003D70B0">
        <w:rPr>
          <w:color w:val="535353"/>
        </w:rPr>
        <w:t xml:space="preserve">à </w:t>
      </w:r>
      <w:r w:rsidR="00364052">
        <w:rPr>
          <w:color w:val="535353"/>
        </w:rPr>
        <w:t>la gouvernance et l’action publique</w:t>
      </w:r>
      <w:r w:rsidR="00F1179C" w:rsidRPr="003D70B0">
        <w:rPr>
          <w:color w:val="535353"/>
        </w:rPr>
        <w:t>,</w:t>
      </w:r>
      <w:r w:rsidRPr="003D70B0">
        <w:rPr>
          <w:color w:val="535353"/>
        </w:rPr>
        <w:t xml:space="preserve"> autour des différents enjeux.</w:t>
      </w:r>
    </w:p>
    <w:p w14:paraId="2981E218" w14:textId="0BBB8FB3" w:rsidR="00A3372E" w:rsidRDefault="007F50F2" w:rsidP="00A3372E">
      <w:pPr>
        <w:spacing w:line="240" w:lineRule="auto"/>
        <w:rPr>
          <w:color w:val="535353"/>
          <w:highlight w:val="yellow"/>
        </w:rPr>
      </w:pPr>
      <w:r w:rsidRPr="003D70B0">
        <w:rPr>
          <w:color w:val="535353"/>
          <w:highlight w:val="yellow"/>
        </w:rPr>
        <w:t xml:space="preserve"> </w:t>
      </w:r>
      <w:r w:rsidR="001D5FAE" w:rsidRPr="003D70B0">
        <w:rPr>
          <w:color w:val="535353"/>
          <w:highlight w:val="yellow"/>
        </w:rPr>
        <w:t xml:space="preserve"> </w:t>
      </w:r>
    </w:p>
    <w:p w14:paraId="35848378" w14:textId="77777777" w:rsidR="00230EBA" w:rsidRPr="004A7436" w:rsidRDefault="00230EBA" w:rsidP="00A3372E">
      <w:pPr>
        <w:spacing w:line="240" w:lineRule="auto"/>
        <w:rPr>
          <w:color w:val="535353"/>
          <w:highlight w:val="yellow"/>
        </w:rPr>
      </w:pPr>
    </w:p>
    <w:p w14:paraId="7B11040C" w14:textId="77777777" w:rsidR="002E6F4C" w:rsidRPr="00F1179C" w:rsidRDefault="002E6F4C" w:rsidP="00A3372E">
      <w:pPr>
        <w:spacing w:line="240" w:lineRule="auto"/>
        <w:rPr>
          <w:b/>
          <w:bCs/>
          <w:color w:val="535353"/>
        </w:rPr>
      </w:pPr>
    </w:p>
    <w:p w14:paraId="1CC5CC1D" w14:textId="59220053" w:rsidR="007168FB" w:rsidRDefault="007168FB" w:rsidP="00C16E81">
      <w:pPr>
        <w:pStyle w:val="Paragraphedeliste"/>
        <w:numPr>
          <w:ilvl w:val="0"/>
          <w:numId w:val="1"/>
        </w:numPr>
        <w:spacing w:line="240" w:lineRule="auto"/>
        <w:rPr>
          <w:b/>
          <w:bCs/>
          <w:color w:val="535353"/>
        </w:rPr>
      </w:pPr>
      <w:r>
        <w:rPr>
          <w:b/>
          <w:bCs/>
          <w:color w:val="535353"/>
        </w:rPr>
        <w:t>Préambule</w:t>
      </w:r>
    </w:p>
    <w:p w14:paraId="6FC42B43" w14:textId="5C9CDE81" w:rsidR="007168FB" w:rsidRDefault="00923455" w:rsidP="007168FB">
      <w:pPr>
        <w:spacing w:line="240" w:lineRule="auto"/>
        <w:rPr>
          <w:b/>
          <w:bCs/>
          <w:color w:val="535353"/>
        </w:rPr>
      </w:pPr>
      <w:r w:rsidRPr="000043A7">
        <w:rPr>
          <w:bCs/>
          <w:color w:val="535353"/>
        </w:rPr>
        <w:t xml:space="preserve">Le président de l’ADEC précise </w:t>
      </w:r>
      <w:r w:rsidR="00214C4D">
        <w:rPr>
          <w:bCs/>
          <w:color w:val="535353"/>
        </w:rPr>
        <w:t xml:space="preserve">notamment </w:t>
      </w:r>
      <w:r w:rsidRPr="000043A7">
        <w:rPr>
          <w:bCs/>
          <w:color w:val="535353"/>
        </w:rPr>
        <w:t xml:space="preserve">dans son propos introductif que la révision du SRDE2I doit </w:t>
      </w:r>
      <w:r w:rsidR="000043A7" w:rsidRPr="000043A7">
        <w:rPr>
          <w:bCs/>
          <w:color w:val="535353"/>
        </w:rPr>
        <w:t>s’inscrire également</w:t>
      </w:r>
      <w:r w:rsidR="000043A7">
        <w:rPr>
          <w:b/>
          <w:bCs/>
          <w:color w:val="535353"/>
        </w:rPr>
        <w:t xml:space="preserve"> en se projetant sur l’autonomie économique de la Corse. On peut alors se poser la question de : Quel type de fiscalité ? Une fiscalité qui favorise la production ? La consommation ? </w:t>
      </w:r>
    </w:p>
    <w:p w14:paraId="1B9AC5F0" w14:textId="77777777" w:rsidR="00170E0C" w:rsidRDefault="00170E0C" w:rsidP="007168FB">
      <w:pPr>
        <w:spacing w:line="240" w:lineRule="auto"/>
        <w:rPr>
          <w:b/>
          <w:bCs/>
          <w:color w:val="535353"/>
        </w:rPr>
      </w:pPr>
    </w:p>
    <w:p w14:paraId="1BA83B07" w14:textId="2EA4FBCC" w:rsidR="00170E0C" w:rsidRPr="00170E0C" w:rsidRDefault="00170E0C" w:rsidP="007168FB">
      <w:pPr>
        <w:spacing w:line="240" w:lineRule="auto"/>
        <w:rPr>
          <w:bCs/>
          <w:color w:val="535353"/>
        </w:rPr>
      </w:pPr>
      <w:r w:rsidRPr="00170E0C">
        <w:rPr>
          <w:bCs/>
          <w:color w:val="535353"/>
        </w:rPr>
        <w:t xml:space="preserve">Plus globalement, la révision du SRDE2I est le cadre </w:t>
      </w:r>
      <w:r w:rsidR="00D2696C">
        <w:rPr>
          <w:bCs/>
          <w:color w:val="535353"/>
        </w:rPr>
        <w:t>qui permettra de</w:t>
      </w:r>
      <w:r w:rsidRPr="00170E0C">
        <w:rPr>
          <w:bCs/>
          <w:color w:val="535353"/>
        </w:rPr>
        <w:t xml:space="preserve"> se poser les questions de :</w:t>
      </w:r>
    </w:p>
    <w:p w14:paraId="6FE53E18" w14:textId="55F322BD" w:rsidR="00170E0C" w:rsidRPr="00170E0C" w:rsidRDefault="00170E0C" w:rsidP="00170E0C">
      <w:pPr>
        <w:pStyle w:val="Paragraphedeliste"/>
        <w:numPr>
          <w:ilvl w:val="0"/>
          <w:numId w:val="5"/>
        </w:numPr>
        <w:spacing w:line="240" w:lineRule="auto"/>
        <w:rPr>
          <w:bCs/>
          <w:color w:val="535353"/>
        </w:rPr>
      </w:pPr>
      <w:r w:rsidRPr="00170E0C">
        <w:rPr>
          <w:bCs/>
          <w:color w:val="535353"/>
        </w:rPr>
        <w:t>Comment animer notre économie ?</w:t>
      </w:r>
    </w:p>
    <w:p w14:paraId="6B888047" w14:textId="782D465D" w:rsidR="00170E0C" w:rsidRPr="00170E0C" w:rsidRDefault="00170E0C" w:rsidP="00170E0C">
      <w:pPr>
        <w:pStyle w:val="Paragraphedeliste"/>
        <w:numPr>
          <w:ilvl w:val="0"/>
          <w:numId w:val="5"/>
        </w:numPr>
        <w:spacing w:line="240" w:lineRule="auto"/>
        <w:rPr>
          <w:bCs/>
          <w:color w:val="535353"/>
        </w:rPr>
      </w:pPr>
      <w:r w:rsidRPr="00170E0C">
        <w:rPr>
          <w:bCs/>
          <w:color w:val="535353"/>
        </w:rPr>
        <w:t>Comment susciter des projets ? individuels ? collectifs ?</w:t>
      </w:r>
    </w:p>
    <w:p w14:paraId="7E74589D" w14:textId="731A6266" w:rsidR="00170E0C" w:rsidRPr="00170E0C" w:rsidRDefault="00170E0C" w:rsidP="00170E0C">
      <w:pPr>
        <w:pStyle w:val="Paragraphedeliste"/>
        <w:numPr>
          <w:ilvl w:val="0"/>
          <w:numId w:val="5"/>
        </w:numPr>
        <w:spacing w:line="240" w:lineRule="auto"/>
        <w:rPr>
          <w:bCs/>
          <w:color w:val="535353"/>
        </w:rPr>
      </w:pPr>
      <w:r w:rsidRPr="00170E0C">
        <w:rPr>
          <w:bCs/>
          <w:color w:val="535353"/>
        </w:rPr>
        <w:t>Comment accompagner ? (instruments financiers, aides publiques directes, financements de l’UE…)</w:t>
      </w:r>
    </w:p>
    <w:p w14:paraId="0696BF91" w14:textId="77777777" w:rsidR="00170E0C" w:rsidRDefault="00170E0C" w:rsidP="00170E0C">
      <w:pPr>
        <w:spacing w:line="240" w:lineRule="auto"/>
        <w:rPr>
          <w:bCs/>
          <w:color w:val="535353"/>
        </w:rPr>
      </w:pPr>
    </w:p>
    <w:p w14:paraId="5E447446" w14:textId="76E243BF" w:rsidR="00170E0C" w:rsidRPr="00170E0C" w:rsidRDefault="00170E0C" w:rsidP="00170E0C">
      <w:pPr>
        <w:spacing w:line="240" w:lineRule="auto"/>
        <w:rPr>
          <w:bCs/>
          <w:color w:val="535353"/>
        </w:rPr>
      </w:pPr>
      <w:r>
        <w:rPr>
          <w:bCs/>
          <w:color w:val="535353"/>
        </w:rPr>
        <w:t xml:space="preserve">Le SRDE2I est un document prescriptif et prospectif de la vision de notre économie, </w:t>
      </w:r>
      <w:r w:rsidR="003F6ED8">
        <w:rPr>
          <w:bCs/>
          <w:color w:val="535353"/>
        </w:rPr>
        <w:t>de la stratégie, du plan d’actions à mettre en œuvre</w:t>
      </w:r>
      <w:r w:rsidR="008A3967">
        <w:rPr>
          <w:bCs/>
          <w:color w:val="535353"/>
        </w:rPr>
        <w:t>,</w:t>
      </w:r>
      <w:r w:rsidR="003F6ED8">
        <w:rPr>
          <w:bCs/>
          <w:color w:val="535353"/>
        </w:rPr>
        <w:t xml:space="preserve"> </w:t>
      </w:r>
      <w:r>
        <w:rPr>
          <w:bCs/>
          <w:color w:val="535353"/>
        </w:rPr>
        <w:t xml:space="preserve">des grandes masses financières </w:t>
      </w:r>
      <w:r w:rsidR="003F6ED8">
        <w:rPr>
          <w:bCs/>
          <w:color w:val="535353"/>
        </w:rPr>
        <w:t xml:space="preserve">à mobiliser pour le réaliser.  </w:t>
      </w:r>
    </w:p>
    <w:p w14:paraId="5084C6ED" w14:textId="77777777" w:rsidR="00923455" w:rsidRDefault="00923455" w:rsidP="007168FB">
      <w:pPr>
        <w:spacing w:line="240" w:lineRule="auto"/>
        <w:rPr>
          <w:b/>
          <w:bCs/>
          <w:color w:val="535353"/>
        </w:rPr>
      </w:pPr>
    </w:p>
    <w:p w14:paraId="348E6DE2" w14:textId="514E5790" w:rsidR="003F6ED8" w:rsidRPr="003F6ED8" w:rsidRDefault="003F6ED8" w:rsidP="007168FB">
      <w:pPr>
        <w:spacing w:line="240" w:lineRule="auto"/>
        <w:rPr>
          <w:bCs/>
          <w:color w:val="535353"/>
        </w:rPr>
      </w:pPr>
      <w:r w:rsidRPr="003F6ED8">
        <w:rPr>
          <w:bCs/>
          <w:color w:val="535353"/>
        </w:rPr>
        <w:t>S’agissant du bilan et/ou de la révision du SRDE2I dans les autres régions :</w:t>
      </w:r>
    </w:p>
    <w:p w14:paraId="7CA8C655" w14:textId="21787F8D" w:rsidR="009E25BC" w:rsidRDefault="003F6ED8" w:rsidP="003F6ED8">
      <w:pPr>
        <w:pStyle w:val="Paragraphedeliste"/>
        <w:numPr>
          <w:ilvl w:val="0"/>
          <w:numId w:val="6"/>
        </w:numPr>
        <w:spacing w:line="240" w:lineRule="auto"/>
        <w:rPr>
          <w:bCs/>
          <w:color w:val="535353"/>
        </w:rPr>
      </w:pPr>
      <w:r w:rsidRPr="003F6ED8">
        <w:rPr>
          <w:bCs/>
          <w:color w:val="535353"/>
        </w:rPr>
        <w:t xml:space="preserve">A l’heure actuelle, seul le Pays de la Loire a abouti à la révision de son schéma… </w:t>
      </w:r>
      <w:r>
        <w:rPr>
          <w:bCs/>
          <w:color w:val="535353"/>
        </w:rPr>
        <w:t xml:space="preserve">la plupart </w:t>
      </w:r>
      <w:r w:rsidR="008A3967">
        <w:rPr>
          <w:bCs/>
          <w:color w:val="535353"/>
        </w:rPr>
        <w:t xml:space="preserve">des </w:t>
      </w:r>
      <w:r w:rsidR="00C02DAF">
        <w:rPr>
          <w:bCs/>
          <w:color w:val="535353"/>
        </w:rPr>
        <w:t xml:space="preserve">exercices de </w:t>
      </w:r>
      <w:r w:rsidR="008A3967">
        <w:rPr>
          <w:bCs/>
          <w:color w:val="535353"/>
        </w:rPr>
        <w:t xml:space="preserve">révision </w:t>
      </w:r>
      <w:r>
        <w:rPr>
          <w:bCs/>
          <w:color w:val="535353"/>
        </w:rPr>
        <w:t xml:space="preserve">sont </w:t>
      </w:r>
      <w:r w:rsidR="00C02DAF">
        <w:rPr>
          <w:bCs/>
          <w:color w:val="535353"/>
        </w:rPr>
        <w:t xml:space="preserve">donc </w:t>
      </w:r>
      <w:r>
        <w:rPr>
          <w:bCs/>
          <w:color w:val="535353"/>
        </w:rPr>
        <w:t xml:space="preserve">toujours en </w:t>
      </w:r>
      <w:r w:rsidR="00C02DAF">
        <w:rPr>
          <w:bCs/>
          <w:color w:val="535353"/>
        </w:rPr>
        <w:t>cours,</w:t>
      </w:r>
      <w:r>
        <w:rPr>
          <w:bCs/>
          <w:color w:val="535353"/>
        </w:rPr>
        <w:t xml:space="preserve"> quand </w:t>
      </w:r>
      <w:r w:rsidRPr="003F6ED8">
        <w:rPr>
          <w:bCs/>
          <w:color w:val="535353"/>
        </w:rPr>
        <w:t>d’autres régions (la Bretagne)</w:t>
      </w:r>
      <w:r>
        <w:rPr>
          <w:bCs/>
          <w:color w:val="535353"/>
        </w:rPr>
        <w:t xml:space="preserve"> prévoient une </w:t>
      </w:r>
      <w:r w:rsidR="009E25BC">
        <w:rPr>
          <w:bCs/>
          <w:color w:val="535353"/>
        </w:rPr>
        <w:t>finalisation pour 202</w:t>
      </w:r>
      <w:r w:rsidR="005951E1">
        <w:rPr>
          <w:bCs/>
          <w:color w:val="535353"/>
        </w:rPr>
        <w:t>3 ;</w:t>
      </w:r>
    </w:p>
    <w:p w14:paraId="4582075A" w14:textId="3D0AF31A" w:rsidR="003F6ED8" w:rsidRPr="00DD2337" w:rsidRDefault="009E25BC" w:rsidP="003F6ED8">
      <w:pPr>
        <w:pStyle w:val="Paragraphedeliste"/>
        <w:numPr>
          <w:ilvl w:val="0"/>
          <w:numId w:val="6"/>
        </w:numPr>
        <w:spacing w:line="240" w:lineRule="auto"/>
        <w:rPr>
          <w:bCs/>
          <w:color w:val="535353"/>
        </w:rPr>
      </w:pPr>
      <w:r w:rsidRPr="009E25BC">
        <w:rPr>
          <w:b/>
          <w:bCs/>
          <w:color w:val="535353"/>
        </w:rPr>
        <w:t xml:space="preserve">En termes de bilan, la </w:t>
      </w:r>
      <w:r w:rsidR="00347231">
        <w:rPr>
          <w:b/>
          <w:bCs/>
          <w:color w:val="535353"/>
        </w:rPr>
        <w:t xml:space="preserve">mise en œuvre </w:t>
      </w:r>
      <w:r w:rsidR="00347231" w:rsidRPr="009E25BC">
        <w:rPr>
          <w:b/>
          <w:bCs/>
          <w:color w:val="535353"/>
        </w:rPr>
        <w:t xml:space="preserve">des SRDE2I </w:t>
      </w:r>
      <w:r w:rsidR="00347231">
        <w:rPr>
          <w:b/>
          <w:bCs/>
          <w:color w:val="535353"/>
        </w:rPr>
        <w:t xml:space="preserve">dans la </w:t>
      </w:r>
      <w:r w:rsidRPr="009E25BC">
        <w:rPr>
          <w:b/>
          <w:bCs/>
          <w:color w:val="535353"/>
        </w:rPr>
        <w:t xml:space="preserve">plupart </w:t>
      </w:r>
      <w:r w:rsidR="00347231">
        <w:rPr>
          <w:b/>
          <w:bCs/>
          <w:color w:val="535353"/>
        </w:rPr>
        <w:t>des régions aurait but</w:t>
      </w:r>
      <w:r w:rsidR="00230EBA">
        <w:rPr>
          <w:b/>
          <w:bCs/>
          <w:color w:val="535353"/>
        </w:rPr>
        <w:t>é</w:t>
      </w:r>
      <w:r w:rsidR="00347231">
        <w:rPr>
          <w:b/>
          <w:bCs/>
          <w:color w:val="535353"/>
        </w:rPr>
        <w:t xml:space="preserve"> sur</w:t>
      </w:r>
      <w:r w:rsidRPr="009E25BC">
        <w:rPr>
          <w:b/>
          <w:bCs/>
          <w:color w:val="535353"/>
        </w:rPr>
        <w:t xml:space="preserve"> l’</w:t>
      </w:r>
      <w:r>
        <w:rPr>
          <w:b/>
          <w:bCs/>
          <w:color w:val="535353"/>
        </w:rPr>
        <w:t xml:space="preserve">animation de filières ; </w:t>
      </w:r>
      <w:r w:rsidR="00DD2337">
        <w:rPr>
          <w:b/>
          <w:bCs/>
          <w:color w:val="535353"/>
        </w:rPr>
        <w:t>les régions hésitant entre trop grande spécialisation de filières (</w:t>
      </w:r>
      <w:r w:rsidR="00230EBA">
        <w:rPr>
          <w:b/>
          <w:bCs/>
          <w:color w:val="535353"/>
        </w:rPr>
        <w:t xml:space="preserve">avec la </w:t>
      </w:r>
      <w:r w:rsidR="00DD2337">
        <w:rPr>
          <w:b/>
          <w:bCs/>
          <w:color w:val="535353"/>
        </w:rPr>
        <w:t>question des filières prioritaires</w:t>
      </w:r>
      <w:r w:rsidR="00DD2337" w:rsidRPr="00DD2337">
        <w:rPr>
          <w:bCs/>
          <w:color w:val="535353"/>
        </w:rPr>
        <w:t xml:space="preserve">) et </w:t>
      </w:r>
      <w:r w:rsidR="00F1704D">
        <w:rPr>
          <w:bCs/>
          <w:color w:val="535353"/>
        </w:rPr>
        <w:t>intégration de l’ensemble des filières</w:t>
      </w:r>
      <w:r w:rsidR="00DD2337" w:rsidRPr="00DD2337">
        <w:rPr>
          <w:bCs/>
          <w:color w:val="535353"/>
        </w:rPr>
        <w:t>.</w:t>
      </w:r>
      <w:r w:rsidR="00F1704D">
        <w:rPr>
          <w:bCs/>
          <w:color w:val="535353"/>
        </w:rPr>
        <w:t xml:space="preserve"> Enfin, autre enseignement, </w:t>
      </w:r>
      <w:r w:rsidR="00CB328F">
        <w:rPr>
          <w:bCs/>
          <w:color w:val="535353"/>
        </w:rPr>
        <w:t>la problématique de la gouvernance s’est posée à toutes les régions, du fait de modalités de coordination mal définies à l’échelle infra-</w:t>
      </w:r>
      <w:r w:rsidR="00750EFA">
        <w:rPr>
          <w:bCs/>
          <w:color w:val="535353"/>
        </w:rPr>
        <w:t>régionale</w:t>
      </w:r>
      <w:r w:rsidR="00CB328F">
        <w:rPr>
          <w:bCs/>
          <w:color w:val="535353"/>
        </w:rPr>
        <w:t xml:space="preserve">. </w:t>
      </w:r>
    </w:p>
    <w:p w14:paraId="10D046C5" w14:textId="77777777" w:rsidR="00923455" w:rsidRDefault="00923455" w:rsidP="007168FB">
      <w:pPr>
        <w:spacing w:line="240" w:lineRule="auto"/>
        <w:rPr>
          <w:b/>
          <w:bCs/>
          <w:color w:val="535353"/>
        </w:rPr>
      </w:pPr>
    </w:p>
    <w:p w14:paraId="59CF3270" w14:textId="77777777" w:rsidR="007168FB" w:rsidRPr="007168FB" w:rsidRDefault="007168FB" w:rsidP="007168FB">
      <w:pPr>
        <w:spacing w:line="240" w:lineRule="auto"/>
        <w:rPr>
          <w:b/>
          <w:bCs/>
          <w:color w:val="535353"/>
        </w:rPr>
      </w:pPr>
    </w:p>
    <w:p w14:paraId="3E52DB80" w14:textId="77777777" w:rsidR="00230EBA" w:rsidRDefault="00230EBA">
      <w:pPr>
        <w:spacing w:after="200" w:line="276" w:lineRule="auto"/>
        <w:jc w:val="left"/>
        <w:rPr>
          <w:b/>
          <w:bCs/>
          <w:color w:val="535353"/>
        </w:rPr>
      </w:pPr>
      <w:r>
        <w:rPr>
          <w:b/>
          <w:bCs/>
          <w:color w:val="535353"/>
        </w:rPr>
        <w:br w:type="page"/>
      </w:r>
    </w:p>
    <w:p w14:paraId="640BA0B7" w14:textId="681D1245" w:rsidR="00C31538" w:rsidRPr="00F1179C" w:rsidRDefault="007F50F2" w:rsidP="00C16E81">
      <w:pPr>
        <w:pStyle w:val="Paragraphedeliste"/>
        <w:numPr>
          <w:ilvl w:val="0"/>
          <w:numId w:val="1"/>
        </w:numPr>
        <w:spacing w:line="240" w:lineRule="auto"/>
        <w:rPr>
          <w:b/>
          <w:bCs/>
          <w:color w:val="535353"/>
        </w:rPr>
      </w:pPr>
      <w:r w:rsidRPr="00F1179C">
        <w:rPr>
          <w:b/>
          <w:bCs/>
          <w:color w:val="535353"/>
        </w:rPr>
        <w:lastRenderedPageBreak/>
        <w:t>Les enjeux spécifiques</w:t>
      </w:r>
      <w:r w:rsidR="00C31538" w:rsidRPr="00F1179C">
        <w:rPr>
          <w:b/>
          <w:bCs/>
          <w:color w:val="535353"/>
        </w:rPr>
        <w:t xml:space="preserve"> </w:t>
      </w:r>
    </w:p>
    <w:p w14:paraId="5A5A15CB" w14:textId="77777777" w:rsidR="00982596" w:rsidRPr="00F1179C" w:rsidRDefault="00982596" w:rsidP="00AE3065">
      <w:pPr>
        <w:pStyle w:val="Paragraphedeliste"/>
        <w:spacing w:line="240" w:lineRule="auto"/>
        <w:rPr>
          <w:color w:val="535353"/>
        </w:rPr>
      </w:pPr>
    </w:p>
    <w:p w14:paraId="698188FE" w14:textId="2D49C1D7" w:rsidR="009D62FC" w:rsidRPr="002B036C" w:rsidRDefault="00982596" w:rsidP="00082E02">
      <w:pPr>
        <w:pStyle w:val="Paragraphedeliste"/>
        <w:spacing w:line="240" w:lineRule="auto"/>
        <w:ind w:left="0"/>
        <w:rPr>
          <w:color w:val="535353"/>
        </w:rPr>
      </w:pPr>
      <w:r w:rsidRPr="002B036C">
        <w:rPr>
          <w:i/>
          <w:color w:val="C00000"/>
          <w:u w:val="single"/>
        </w:rPr>
        <w:t>Enjeu 1</w:t>
      </w:r>
      <w:r w:rsidR="00881463" w:rsidRPr="002B036C">
        <w:rPr>
          <w:i/>
          <w:color w:val="C00000"/>
          <w:u w:val="single"/>
        </w:rPr>
        <w:t>.</w:t>
      </w:r>
      <w:r w:rsidRPr="002B036C">
        <w:rPr>
          <w:i/>
          <w:color w:val="C00000"/>
          <w:u w:val="single"/>
        </w:rPr>
        <w:t xml:space="preserve"> </w:t>
      </w:r>
      <w:r w:rsidR="006968E9" w:rsidRPr="002B036C">
        <w:rPr>
          <w:i/>
          <w:color w:val="C00000"/>
          <w:u w:val="single"/>
        </w:rPr>
        <w:t>Améliorer le pilotage du SRDE2I</w:t>
      </w:r>
      <w:r w:rsidR="00F1179C" w:rsidRPr="002B036C">
        <w:rPr>
          <w:i/>
          <w:color w:val="C00000"/>
          <w:u w:val="single"/>
        </w:rPr>
        <w:t xml:space="preserve"> </w:t>
      </w:r>
    </w:p>
    <w:p w14:paraId="6103EAAA" w14:textId="25A4E957" w:rsidR="002B036C" w:rsidRPr="00282711" w:rsidRDefault="00CA113D" w:rsidP="00082E02">
      <w:pPr>
        <w:pStyle w:val="Paragraphedeliste"/>
        <w:spacing w:line="240" w:lineRule="auto"/>
        <w:ind w:left="0"/>
        <w:rPr>
          <w:color w:val="535353"/>
        </w:rPr>
      </w:pPr>
      <w:r w:rsidRPr="002B036C">
        <w:rPr>
          <w:color w:val="535353"/>
        </w:rPr>
        <w:t xml:space="preserve">Dans le cadre de la gouvernance, il est préconisé la mise en place d’un </w:t>
      </w:r>
      <w:r w:rsidR="002B036C" w:rsidRPr="002B036C">
        <w:rPr>
          <w:color w:val="535353"/>
        </w:rPr>
        <w:t>groupe de pilotage composé de :</w:t>
      </w:r>
    </w:p>
    <w:p w14:paraId="2FB3C55E" w14:textId="418DBBF2" w:rsidR="009B5853" w:rsidRDefault="00507662" w:rsidP="00FB3C1C">
      <w:pPr>
        <w:pStyle w:val="Paragraphedeliste"/>
        <w:numPr>
          <w:ilvl w:val="0"/>
          <w:numId w:val="7"/>
        </w:numPr>
        <w:spacing w:line="240" w:lineRule="auto"/>
        <w:rPr>
          <w:bCs/>
          <w:color w:val="535353"/>
        </w:rPr>
      </w:pPr>
      <w:r>
        <w:rPr>
          <w:bCs/>
          <w:color w:val="535353"/>
        </w:rPr>
        <w:t>Représentants</w:t>
      </w:r>
      <w:r w:rsidR="00AA36D5">
        <w:rPr>
          <w:bCs/>
          <w:color w:val="535353"/>
        </w:rPr>
        <w:t xml:space="preserve"> des </w:t>
      </w:r>
      <w:r>
        <w:rPr>
          <w:bCs/>
          <w:color w:val="535353"/>
        </w:rPr>
        <w:t>écosystèmes</w:t>
      </w:r>
      <w:r w:rsidR="00AA36D5">
        <w:rPr>
          <w:bCs/>
          <w:color w:val="535353"/>
        </w:rPr>
        <w:t xml:space="preserve"> </w:t>
      </w:r>
    </w:p>
    <w:p w14:paraId="777A0492" w14:textId="5E7AA5FD" w:rsidR="00AA36D5" w:rsidRPr="00C75115" w:rsidRDefault="00AA36D5" w:rsidP="00FB3C1C">
      <w:pPr>
        <w:pStyle w:val="Paragraphedeliste"/>
        <w:numPr>
          <w:ilvl w:val="0"/>
          <w:numId w:val="7"/>
        </w:numPr>
        <w:spacing w:line="240" w:lineRule="auto"/>
        <w:rPr>
          <w:bCs/>
          <w:color w:val="535353"/>
        </w:rPr>
      </w:pPr>
      <w:r>
        <w:rPr>
          <w:bCs/>
          <w:color w:val="535353"/>
        </w:rPr>
        <w:t xml:space="preserve">Représentants des </w:t>
      </w:r>
      <w:r w:rsidR="00507662">
        <w:rPr>
          <w:bCs/>
          <w:color w:val="535353"/>
        </w:rPr>
        <w:t xml:space="preserve">territoires </w:t>
      </w:r>
    </w:p>
    <w:p w14:paraId="565419AB" w14:textId="77777777" w:rsidR="00C75115" w:rsidRPr="00C75115" w:rsidRDefault="00C75115" w:rsidP="00082E02">
      <w:pPr>
        <w:pStyle w:val="Paragraphedeliste"/>
        <w:spacing w:line="240" w:lineRule="auto"/>
        <w:ind w:left="0"/>
        <w:rPr>
          <w:bCs/>
          <w:color w:val="535353"/>
        </w:rPr>
      </w:pPr>
    </w:p>
    <w:p w14:paraId="7D537E17" w14:textId="1CA57AE9" w:rsidR="009D62FC" w:rsidRPr="00507662" w:rsidRDefault="00507662" w:rsidP="00E64D09">
      <w:pPr>
        <w:spacing w:line="240" w:lineRule="auto"/>
        <w:rPr>
          <w:color w:val="535353"/>
        </w:rPr>
      </w:pPr>
      <w:r w:rsidRPr="00D34E98">
        <w:rPr>
          <w:color w:val="535353"/>
        </w:rPr>
        <w:t>Si la représentativité des différentes parties prenantes apparait incontournable, ce groupe de pilotage doit être également resserré</w:t>
      </w:r>
      <w:r>
        <w:rPr>
          <w:color w:val="535353"/>
        </w:rPr>
        <w:t xml:space="preserve"> afin de préserver le débat et la productivité des échanges.</w:t>
      </w:r>
      <w:r w:rsidR="002F42B9">
        <w:rPr>
          <w:color w:val="535353"/>
        </w:rPr>
        <w:t xml:space="preserve"> Par ailleurs, ce groupe de pilotage doit pouvoir se réunir à fréquence </w:t>
      </w:r>
      <w:r w:rsidR="00E82236">
        <w:rPr>
          <w:color w:val="535353"/>
        </w:rPr>
        <w:t>régulière</w:t>
      </w:r>
      <w:r w:rsidRPr="00507662">
        <w:rPr>
          <w:color w:val="535353"/>
        </w:rPr>
        <w:t xml:space="preserve"> </w:t>
      </w:r>
      <w:r w:rsidR="00E82236">
        <w:rPr>
          <w:color w:val="535353"/>
        </w:rPr>
        <w:t xml:space="preserve">dans le cadre de points d’étape </w:t>
      </w:r>
      <w:r w:rsidR="00282711">
        <w:rPr>
          <w:color w:val="535353"/>
        </w:rPr>
        <w:t>pour</w:t>
      </w:r>
      <w:r w:rsidR="00E82236">
        <w:rPr>
          <w:color w:val="535353"/>
        </w:rPr>
        <w:t xml:space="preserve"> la </w:t>
      </w:r>
      <w:r w:rsidR="00282711">
        <w:rPr>
          <w:color w:val="535353"/>
        </w:rPr>
        <w:t xml:space="preserve">bonne </w:t>
      </w:r>
      <w:r w:rsidR="00E82236">
        <w:rPr>
          <w:color w:val="535353"/>
        </w:rPr>
        <w:t xml:space="preserve">mise en œuvre du SRDE2I. </w:t>
      </w:r>
      <w:r w:rsidR="004F685F">
        <w:rPr>
          <w:color w:val="535353"/>
        </w:rPr>
        <w:t>P</w:t>
      </w:r>
      <w:r w:rsidR="00E82236">
        <w:rPr>
          <w:color w:val="535353"/>
        </w:rPr>
        <w:t xml:space="preserve">our un autre participant, </w:t>
      </w:r>
      <w:r w:rsidR="00D5058A" w:rsidRPr="00D5058A">
        <w:rPr>
          <w:b/>
          <w:bCs/>
          <w:color w:val="535353"/>
        </w:rPr>
        <w:t>le pilotage pourrait être assuré par des instances existantes</w:t>
      </w:r>
      <w:r w:rsidR="00D5058A">
        <w:rPr>
          <w:color w:val="535353"/>
        </w:rPr>
        <w:t xml:space="preserve"> évitant de </w:t>
      </w:r>
      <w:r w:rsidR="00892C86">
        <w:rPr>
          <w:color w:val="535353"/>
        </w:rPr>
        <w:t xml:space="preserve">les </w:t>
      </w:r>
      <w:r w:rsidR="00D5058A">
        <w:rPr>
          <w:color w:val="535353"/>
        </w:rPr>
        <w:t xml:space="preserve">multiplier au risque de ne pas </w:t>
      </w:r>
      <w:r w:rsidR="004F685F">
        <w:rPr>
          <w:color w:val="535353"/>
        </w:rPr>
        <w:t xml:space="preserve">pouvoir </w:t>
      </w:r>
      <w:r w:rsidR="00D5058A">
        <w:rPr>
          <w:color w:val="535353"/>
        </w:rPr>
        <w:t xml:space="preserve">mobiliser </w:t>
      </w:r>
      <w:r w:rsidR="00917452">
        <w:rPr>
          <w:color w:val="535353"/>
        </w:rPr>
        <w:t>tout au long du processus les différentes parties prenantes</w:t>
      </w:r>
      <w:r w:rsidR="00AA1C42">
        <w:rPr>
          <w:color w:val="535353"/>
        </w:rPr>
        <w:t xml:space="preserve"> ; </w:t>
      </w:r>
      <w:r w:rsidR="00892C86">
        <w:rPr>
          <w:color w:val="535353"/>
        </w:rPr>
        <w:t xml:space="preserve">toutefois, cette éventualité pose la question de la </w:t>
      </w:r>
      <w:r w:rsidR="005B21B9">
        <w:rPr>
          <w:color w:val="535353"/>
        </w:rPr>
        <w:t xml:space="preserve">représentativité des différentes parties prenantes souhaitée. </w:t>
      </w:r>
    </w:p>
    <w:p w14:paraId="5B8C1134" w14:textId="277CE4FD" w:rsidR="00507662" w:rsidRDefault="00507662" w:rsidP="00E64D09">
      <w:pPr>
        <w:spacing w:line="240" w:lineRule="auto"/>
        <w:rPr>
          <w:b/>
          <w:bCs/>
          <w:color w:val="535353"/>
          <w:highlight w:val="yellow"/>
        </w:rPr>
      </w:pPr>
    </w:p>
    <w:p w14:paraId="7AB69F35" w14:textId="77777777" w:rsidR="005532A9" w:rsidRDefault="005532A9" w:rsidP="00531D60">
      <w:pPr>
        <w:spacing w:line="240" w:lineRule="auto"/>
        <w:rPr>
          <w:b/>
          <w:bCs/>
          <w:color w:val="535353"/>
        </w:rPr>
      </w:pPr>
    </w:p>
    <w:p w14:paraId="64AA3AE4" w14:textId="232C6F4D" w:rsidR="00420F27" w:rsidRDefault="00881463" w:rsidP="00531D60">
      <w:pPr>
        <w:spacing w:line="240" w:lineRule="auto"/>
        <w:rPr>
          <w:i/>
          <w:color w:val="C00000"/>
          <w:u w:val="single"/>
        </w:rPr>
      </w:pPr>
      <w:r w:rsidRPr="00082E02">
        <w:rPr>
          <w:i/>
          <w:color w:val="C00000"/>
          <w:u w:val="single"/>
        </w:rPr>
        <w:t xml:space="preserve">Enjeu 2. </w:t>
      </w:r>
      <w:r w:rsidR="006968E9">
        <w:rPr>
          <w:i/>
          <w:color w:val="C00000"/>
          <w:u w:val="single"/>
        </w:rPr>
        <w:t>Le suivi du SRDE2I</w:t>
      </w:r>
    </w:p>
    <w:p w14:paraId="03F99AE5" w14:textId="77777777" w:rsidR="00C82148" w:rsidRDefault="005532A9" w:rsidP="00531D60">
      <w:pPr>
        <w:spacing w:line="240" w:lineRule="auto"/>
        <w:rPr>
          <w:color w:val="535353"/>
        </w:rPr>
      </w:pPr>
      <w:r w:rsidRPr="004E0F3D">
        <w:rPr>
          <w:color w:val="535353"/>
        </w:rPr>
        <w:t xml:space="preserve">En matière de suivi, il est préconisé </w:t>
      </w:r>
      <w:r w:rsidRPr="0050677F">
        <w:rPr>
          <w:b/>
          <w:bCs/>
          <w:color w:val="535353"/>
        </w:rPr>
        <w:t xml:space="preserve">la construction de tableaux de bord avec des </w:t>
      </w:r>
      <w:r w:rsidR="004E0F3D" w:rsidRPr="0050677F">
        <w:rPr>
          <w:b/>
          <w:bCs/>
          <w:color w:val="535353"/>
        </w:rPr>
        <w:t>indicateurs</w:t>
      </w:r>
      <w:r w:rsidRPr="0050677F">
        <w:rPr>
          <w:b/>
          <w:bCs/>
          <w:color w:val="535353"/>
        </w:rPr>
        <w:t xml:space="preserve"> de </w:t>
      </w:r>
      <w:r w:rsidR="004E0F3D" w:rsidRPr="0050677F">
        <w:rPr>
          <w:b/>
          <w:bCs/>
          <w:color w:val="535353"/>
        </w:rPr>
        <w:t>suivi</w:t>
      </w:r>
      <w:r w:rsidRPr="0050677F">
        <w:rPr>
          <w:b/>
          <w:bCs/>
          <w:color w:val="535353"/>
        </w:rPr>
        <w:t xml:space="preserve"> des activités prévues dans le cadre du SRDE2I</w:t>
      </w:r>
      <w:r w:rsidRPr="004E0F3D">
        <w:rPr>
          <w:color w:val="535353"/>
        </w:rPr>
        <w:t xml:space="preserve">, et faisant l’objet notamment de </w:t>
      </w:r>
      <w:r w:rsidR="004E0F3D" w:rsidRPr="004E0F3D">
        <w:rPr>
          <w:color w:val="535353"/>
        </w:rPr>
        <w:t>financements</w:t>
      </w:r>
      <w:r w:rsidRPr="004E0F3D">
        <w:rPr>
          <w:color w:val="535353"/>
        </w:rPr>
        <w:t xml:space="preserve">. </w:t>
      </w:r>
    </w:p>
    <w:p w14:paraId="412B5C96" w14:textId="6FC21702" w:rsidR="0050677F" w:rsidRDefault="004E0F3D" w:rsidP="00531D60">
      <w:pPr>
        <w:spacing w:line="240" w:lineRule="auto"/>
        <w:rPr>
          <w:color w:val="535353"/>
        </w:rPr>
      </w:pPr>
      <w:r w:rsidRPr="004E0F3D">
        <w:rPr>
          <w:color w:val="535353"/>
        </w:rPr>
        <w:t xml:space="preserve">En particulier, </w:t>
      </w:r>
      <w:r w:rsidRPr="0050677F">
        <w:rPr>
          <w:b/>
          <w:bCs/>
          <w:color w:val="535353"/>
        </w:rPr>
        <w:t>ces indicateurs de réalisation pourraient être co-identifiés et retenus lors de l’élaboration des conventionnements</w:t>
      </w:r>
      <w:r w:rsidRPr="004E0F3D">
        <w:rPr>
          <w:color w:val="535353"/>
        </w:rPr>
        <w:t xml:space="preserve"> EPCI-ADEC</w:t>
      </w:r>
      <w:r w:rsidR="0079166B">
        <w:rPr>
          <w:color w:val="535353"/>
        </w:rPr>
        <w:t xml:space="preserve"> ; des conventionnements qui devraient se baser sur les projets de territoire portés par les EPCI suivant une recommandation issue du séminaire « Action économique dans les territoires ». </w:t>
      </w:r>
    </w:p>
    <w:p w14:paraId="044D91DC" w14:textId="58C8983E" w:rsidR="0050677F" w:rsidRDefault="0050677F" w:rsidP="00531D60">
      <w:pPr>
        <w:spacing w:line="240" w:lineRule="auto"/>
        <w:rPr>
          <w:color w:val="535353"/>
        </w:rPr>
      </w:pPr>
      <w:r>
        <w:rPr>
          <w:color w:val="535353"/>
        </w:rPr>
        <w:t xml:space="preserve">Ces indicateurs </w:t>
      </w:r>
      <w:r w:rsidR="00C82148">
        <w:rPr>
          <w:color w:val="535353"/>
        </w:rPr>
        <w:t>devraient être</w:t>
      </w:r>
      <w:r>
        <w:rPr>
          <w:color w:val="535353"/>
        </w:rPr>
        <w:t xml:space="preserve"> </w:t>
      </w:r>
      <w:r w:rsidR="0061277E">
        <w:rPr>
          <w:color w:val="535353"/>
        </w:rPr>
        <w:t>actualisés</w:t>
      </w:r>
      <w:r>
        <w:rPr>
          <w:color w:val="535353"/>
        </w:rPr>
        <w:t xml:space="preserve"> pour tenir compte de l’évolution des activités et des besoins</w:t>
      </w:r>
      <w:r w:rsidR="00BE6990">
        <w:rPr>
          <w:color w:val="535353"/>
        </w:rPr>
        <w:t xml:space="preserve"> d’action</w:t>
      </w:r>
      <w:r>
        <w:rPr>
          <w:color w:val="535353"/>
        </w:rPr>
        <w:t xml:space="preserve">. </w:t>
      </w:r>
    </w:p>
    <w:p w14:paraId="2CDD8731" w14:textId="378BABE0" w:rsidR="006968E9" w:rsidRPr="004E0F3D" w:rsidRDefault="0079166B" w:rsidP="00531D60">
      <w:pPr>
        <w:spacing w:line="240" w:lineRule="auto"/>
        <w:rPr>
          <w:color w:val="535353"/>
        </w:rPr>
      </w:pPr>
      <w:r>
        <w:rPr>
          <w:color w:val="535353"/>
        </w:rPr>
        <w:t xml:space="preserve"> </w:t>
      </w:r>
      <w:r w:rsidR="004E0F3D" w:rsidRPr="004E0F3D">
        <w:rPr>
          <w:color w:val="535353"/>
        </w:rPr>
        <w:t xml:space="preserve"> </w:t>
      </w:r>
    </w:p>
    <w:p w14:paraId="541B93BB" w14:textId="77777777" w:rsidR="0061277E" w:rsidRDefault="0061277E" w:rsidP="006968E9">
      <w:pPr>
        <w:spacing w:line="240" w:lineRule="auto"/>
        <w:rPr>
          <w:i/>
          <w:color w:val="C00000"/>
          <w:u w:val="single"/>
        </w:rPr>
      </w:pPr>
    </w:p>
    <w:p w14:paraId="300E2A80" w14:textId="0F51E71A" w:rsidR="006968E9" w:rsidRDefault="006968E9" w:rsidP="006968E9">
      <w:pPr>
        <w:spacing w:line="240" w:lineRule="auto"/>
        <w:rPr>
          <w:i/>
          <w:color w:val="C00000"/>
          <w:u w:val="single"/>
        </w:rPr>
      </w:pPr>
      <w:r>
        <w:rPr>
          <w:i/>
          <w:color w:val="C00000"/>
          <w:u w:val="single"/>
        </w:rPr>
        <w:t>Enjeu 3</w:t>
      </w:r>
      <w:r w:rsidRPr="00082E02">
        <w:rPr>
          <w:i/>
          <w:color w:val="C00000"/>
          <w:u w:val="single"/>
        </w:rPr>
        <w:t xml:space="preserve">. </w:t>
      </w:r>
      <w:r w:rsidRPr="006968E9">
        <w:rPr>
          <w:i/>
          <w:color w:val="C00000"/>
          <w:u w:val="single"/>
        </w:rPr>
        <w:t>Optimiser les marges de manœuvre de l’action économique locale dans le cadre institutionnel actuel</w:t>
      </w:r>
    </w:p>
    <w:p w14:paraId="15459056" w14:textId="6179208B" w:rsidR="00750EFA" w:rsidRDefault="007D595B" w:rsidP="00ED6A59">
      <w:pPr>
        <w:pStyle w:val="Sansinterligne"/>
        <w:rPr>
          <w:color w:val="535353"/>
        </w:rPr>
      </w:pPr>
      <w:r>
        <w:rPr>
          <w:color w:val="535353"/>
        </w:rPr>
        <w:t>Cet enjeu a été traité indirectement sous l’angle de la transparence et du contrôle de l’</w:t>
      </w:r>
      <w:r w:rsidR="00E33E93">
        <w:rPr>
          <w:color w:val="535353"/>
        </w:rPr>
        <w:t>action publique, mis en avant par un des participants. A ce sujet, il a été</w:t>
      </w:r>
      <w:r w:rsidR="00E63789">
        <w:rPr>
          <w:color w:val="535353"/>
        </w:rPr>
        <w:t xml:space="preserve"> précisé les actes de transparence en matière de budget</w:t>
      </w:r>
      <w:r w:rsidR="00F45196">
        <w:rPr>
          <w:color w:val="535353"/>
        </w:rPr>
        <w:t xml:space="preserve"> </w:t>
      </w:r>
      <w:r w:rsidR="009454B0">
        <w:rPr>
          <w:color w:val="535353"/>
        </w:rPr>
        <w:t xml:space="preserve">réalisés à titre d’exemple </w:t>
      </w:r>
      <w:r w:rsidR="00F45196">
        <w:rPr>
          <w:color w:val="535353"/>
        </w:rPr>
        <w:t>pour l’ADEC</w:t>
      </w:r>
      <w:r w:rsidR="009454B0">
        <w:rPr>
          <w:color w:val="535353"/>
        </w:rPr>
        <w:t xml:space="preserve">, avec </w:t>
      </w:r>
      <w:r w:rsidR="00C8227D" w:rsidRPr="00B70477">
        <w:rPr>
          <w:b/>
          <w:bCs/>
          <w:color w:val="535353"/>
        </w:rPr>
        <w:t xml:space="preserve">la proposition dans le cadre du SRDE2I de « rendre compte » </w:t>
      </w:r>
      <w:r w:rsidR="00BE2C3A" w:rsidRPr="00B70477">
        <w:rPr>
          <w:b/>
          <w:bCs/>
          <w:color w:val="535353"/>
        </w:rPr>
        <w:t>des actions réalisées et la mesure éventuellement de leurs impacts pour le territoire.</w:t>
      </w:r>
    </w:p>
    <w:p w14:paraId="42DEC1E4" w14:textId="77777777" w:rsidR="00750EFA" w:rsidRDefault="00750EFA" w:rsidP="00ED6A59">
      <w:pPr>
        <w:pStyle w:val="Sansinterligne"/>
        <w:rPr>
          <w:color w:val="535353"/>
        </w:rPr>
      </w:pPr>
    </w:p>
    <w:p w14:paraId="38B19013" w14:textId="49BDBDBA" w:rsidR="00F43D23" w:rsidRPr="00082E02" w:rsidRDefault="00F43D23" w:rsidP="00ED6A59">
      <w:pPr>
        <w:pStyle w:val="Sansinterligne"/>
        <w:rPr>
          <w:color w:val="535353"/>
        </w:rPr>
      </w:pPr>
    </w:p>
    <w:p w14:paraId="29313DE1" w14:textId="77777777" w:rsidR="00ED6A59" w:rsidRPr="00082E02" w:rsidRDefault="00ED6A59" w:rsidP="00ED6A59">
      <w:pPr>
        <w:pStyle w:val="Sansinterligne"/>
        <w:rPr>
          <w:color w:val="535353"/>
        </w:rPr>
      </w:pPr>
    </w:p>
    <w:p w14:paraId="46287B6B" w14:textId="2B2AA886" w:rsidR="00C31538" w:rsidRPr="00082E02" w:rsidRDefault="007F50F2" w:rsidP="00C16E81">
      <w:pPr>
        <w:pStyle w:val="Paragraphedeliste"/>
        <w:numPr>
          <w:ilvl w:val="0"/>
          <w:numId w:val="1"/>
        </w:numPr>
        <w:spacing w:line="240" w:lineRule="auto"/>
        <w:rPr>
          <w:b/>
          <w:bCs/>
          <w:color w:val="535353"/>
        </w:rPr>
      </w:pPr>
      <w:r w:rsidRPr="00082E02">
        <w:rPr>
          <w:b/>
          <w:bCs/>
          <w:color w:val="535353"/>
        </w:rPr>
        <w:t>Les enjeux transversaux</w:t>
      </w:r>
    </w:p>
    <w:p w14:paraId="4E06CD24" w14:textId="3567E206" w:rsidR="00C31538" w:rsidRPr="00F1179C" w:rsidRDefault="00C31538" w:rsidP="0046333A">
      <w:pPr>
        <w:pStyle w:val="Paragraphedeliste"/>
        <w:spacing w:line="240" w:lineRule="auto"/>
        <w:rPr>
          <w:b/>
          <w:bCs/>
          <w:color w:val="535353"/>
          <w:highlight w:val="yellow"/>
        </w:rPr>
      </w:pPr>
    </w:p>
    <w:p w14:paraId="6EBC449A" w14:textId="36787C13" w:rsidR="0097485C" w:rsidRPr="00911F63" w:rsidRDefault="008339E5" w:rsidP="00A3372E">
      <w:pPr>
        <w:spacing w:line="240" w:lineRule="auto"/>
        <w:rPr>
          <w:color w:val="535353"/>
        </w:rPr>
      </w:pPr>
      <w:r w:rsidRPr="00911F63">
        <w:rPr>
          <w:i/>
          <w:color w:val="C00000"/>
          <w:u w:val="single"/>
        </w:rPr>
        <w:t xml:space="preserve">Enjeu 1. </w:t>
      </w:r>
      <w:r w:rsidR="00082E02" w:rsidRPr="00911F63">
        <w:rPr>
          <w:i/>
          <w:color w:val="C00000"/>
          <w:u w:val="single"/>
        </w:rPr>
        <w:t xml:space="preserve">Favoriser la résilience de l’économie corse post-COVID </w:t>
      </w:r>
      <w:r w:rsidR="00A3372E" w:rsidRPr="00911F63">
        <w:rPr>
          <w:i/>
          <w:color w:val="C00000"/>
          <w:u w:val="single"/>
        </w:rPr>
        <w:t xml:space="preserve"> </w:t>
      </w:r>
    </w:p>
    <w:p w14:paraId="4F77D906" w14:textId="77777777" w:rsidR="00987F20" w:rsidRDefault="00DD5970" w:rsidP="008339E5">
      <w:pPr>
        <w:spacing w:line="240" w:lineRule="auto"/>
        <w:rPr>
          <w:color w:val="535353"/>
        </w:rPr>
      </w:pPr>
      <w:r>
        <w:rPr>
          <w:color w:val="535353"/>
        </w:rPr>
        <w:t xml:space="preserve">Il est indiqué que la stratégie de résilience de l’économie corse pourra s’appuyer </w:t>
      </w:r>
      <w:r w:rsidR="00A753EB">
        <w:rPr>
          <w:color w:val="535353"/>
        </w:rPr>
        <w:t xml:space="preserve">sur </w:t>
      </w:r>
      <w:r w:rsidR="00A753EB" w:rsidRPr="00987F20">
        <w:rPr>
          <w:b/>
          <w:bCs/>
          <w:color w:val="535353"/>
        </w:rPr>
        <w:t>les actions prévues au titre du plan Rilanciu, et notamment pour le volet fiscal</w:t>
      </w:r>
      <w:r w:rsidR="00A753EB">
        <w:rPr>
          <w:color w:val="535353"/>
        </w:rPr>
        <w:t xml:space="preserve"> </w:t>
      </w:r>
      <w:r w:rsidR="00CE06E2">
        <w:rPr>
          <w:color w:val="535353"/>
        </w:rPr>
        <w:t xml:space="preserve">(CIC, élargissement du crédit d’impôt Corse, sustegnu, crédit d’impôt formation corse…). </w:t>
      </w:r>
      <w:r w:rsidR="00A753EB">
        <w:rPr>
          <w:color w:val="535353"/>
        </w:rPr>
        <w:t xml:space="preserve"> </w:t>
      </w:r>
      <w:r>
        <w:rPr>
          <w:color w:val="535353"/>
        </w:rPr>
        <w:t xml:space="preserve"> </w:t>
      </w:r>
    </w:p>
    <w:p w14:paraId="5FB63475" w14:textId="03A9C82C" w:rsidR="00987F20" w:rsidRDefault="00987F20" w:rsidP="008339E5">
      <w:pPr>
        <w:spacing w:line="240" w:lineRule="auto"/>
        <w:rPr>
          <w:color w:val="535353"/>
        </w:rPr>
      </w:pPr>
      <w:r>
        <w:rPr>
          <w:color w:val="535353"/>
        </w:rPr>
        <w:t xml:space="preserve">De même, il est préconisé de </w:t>
      </w:r>
      <w:r w:rsidR="007A5F13">
        <w:rPr>
          <w:color w:val="535353"/>
        </w:rPr>
        <w:t>travailler de manière coordonnée à la relance, et notamment au bénéfice de l’adaptation de certaines mesures au territoire et à ses besoins</w:t>
      </w:r>
      <w:r w:rsidR="00C86E06">
        <w:rPr>
          <w:color w:val="535353"/>
        </w:rPr>
        <w:t xml:space="preserve"> (</w:t>
      </w:r>
      <w:r w:rsidR="00EE428F">
        <w:rPr>
          <w:color w:val="535353"/>
        </w:rPr>
        <w:t xml:space="preserve">rappelant le </w:t>
      </w:r>
      <w:r w:rsidR="00C86E06">
        <w:rPr>
          <w:color w:val="535353"/>
        </w:rPr>
        <w:t>défaut des AMI nationaux trop sectorisés et peu adaptés à l’économie corse)</w:t>
      </w:r>
      <w:r w:rsidR="007A5F13">
        <w:rPr>
          <w:color w:val="535353"/>
        </w:rPr>
        <w:t xml:space="preserve">. </w:t>
      </w:r>
    </w:p>
    <w:p w14:paraId="705E75E7" w14:textId="77777777" w:rsidR="00987F20" w:rsidRDefault="00987F20" w:rsidP="008339E5">
      <w:pPr>
        <w:spacing w:line="240" w:lineRule="auto"/>
        <w:rPr>
          <w:color w:val="535353"/>
        </w:rPr>
      </w:pPr>
    </w:p>
    <w:p w14:paraId="5F737AA5" w14:textId="77777777" w:rsidR="008059E4" w:rsidRDefault="00DD5970" w:rsidP="008339E5">
      <w:pPr>
        <w:spacing w:line="240" w:lineRule="auto"/>
        <w:rPr>
          <w:color w:val="535353"/>
        </w:rPr>
      </w:pPr>
      <w:r>
        <w:rPr>
          <w:color w:val="535353"/>
        </w:rPr>
        <w:t xml:space="preserve"> </w:t>
      </w:r>
    </w:p>
    <w:p w14:paraId="214C1D46" w14:textId="77777777" w:rsidR="00CE318B" w:rsidRDefault="00CE318B">
      <w:pPr>
        <w:spacing w:after="200" w:line="276" w:lineRule="auto"/>
        <w:jc w:val="left"/>
        <w:rPr>
          <w:i/>
          <w:color w:val="C00000"/>
          <w:u w:val="single"/>
        </w:rPr>
      </w:pPr>
      <w:r>
        <w:rPr>
          <w:i/>
          <w:color w:val="C00000"/>
          <w:u w:val="single"/>
        </w:rPr>
        <w:br w:type="page"/>
      </w:r>
    </w:p>
    <w:p w14:paraId="6FC1F7E8" w14:textId="03CE6D84" w:rsidR="00082E02" w:rsidRPr="008059E4" w:rsidRDefault="00082E02" w:rsidP="008339E5">
      <w:pPr>
        <w:spacing w:line="240" w:lineRule="auto"/>
        <w:rPr>
          <w:color w:val="535353"/>
        </w:rPr>
      </w:pPr>
      <w:r w:rsidRPr="00911F63">
        <w:rPr>
          <w:i/>
          <w:color w:val="C00000"/>
          <w:u w:val="single"/>
        </w:rPr>
        <w:lastRenderedPageBreak/>
        <w:t>Enjeu 2.</w:t>
      </w:r>
      <w:r w:rsidRPr="00911F63">
        <w:t xml:space="preserve"> </w:t>
      </w:r>
      <w:r w:rsidRPr="00911F63">
        <w:rPr>
          <w:i/>
          <w:color w:val="C00000"/>
          <w:u w:val="single"/>
        </w:rPr>
        <w:t>De nouvelles ressources pour financer le développement économique</w:t>
      </w:r>
    </w:p>
    <w:p w14:paraId="7577EDB0" w14:textId="1A1A7385" w:rsidR="00CF60FC" w:rsidRPr="00B1052C" w:rsidRDefault="00360DE3" w:rsidP="008339E5">
      <w:pPr>
        <w:spacing w:line="240" w:lineRule="auto"/>
        <w:rPr>
          <w:b/>
          <w:bCs/>
          <w:color w:val="535353"/>
        </w:rPr>
      </w:pPr>
      <w:r>
        <w:rPr>
          <w:color w:val="535353"/>
        </w:rPr>
        <w:t>U</w:t>
      </w:r>
      <w:r w:rsidR="000C0D0C" w:rsidRPr="00360DE3">
        <w:rPr>
          <w:color w:val="535353"/>
        </w:rPr>
        <w:t xml:space="preserve">n des </w:t>
      </w:r>
      <w:r w:rsidRPr="00360DE3">
        <w:rPr>
          <w:color w:val="535353"/>
        </w:rPr>
        <w:t>in</w:t>
      </w:r>
      <w:r>
        <w:rPr>
          <w:color w:val="535353"/>
        </w:rPr>
        <w:t xml:space="preserve">terlocuteurs </w:t>
      </w:r>
      <w:r w:rsidR="006C3753">
        <w:rPr>
          <w:color w:val="535353"/>
        </w:rPr>
        <w:t xml:space="preserve">a présenté une bonne pratique en matière de financement avec le dispositif intracting </w:t>
      </w:r>
      <w:r w:rsidR="00F25C32">
        <w:rPr>
          <w:color w:val="535353"/>
        </w:rPr>
        <w:t xml:space="preserve">destiné à financer des </w:t>
      </w:r>
      <w:r w:rsidR="00901417">
        <w:rPr>
          <w:color w:val="535353"/>
        </w:rPr>
        <w:t>travaux</w:t>
      </w:r>
      <w:r w:rsidR="00F25C32">
        <w:rPr>
          <w:color w:val="535353"/>
        </w:rPr>
        <w:t xml:space="preserve"> de rénovation énergétique à destination des bâtiments publics</w:t>
      </w:r>
      <w:r w:rsidR="00901417">
        <w:rPr>
          <w:color w:val="535353"/>
        </w:rPr>
        <w:t xml:space="preserve"> : en effet, </w:t>
      </w:r>
      <w:r w:rsidR="00901417" w:rsidRPr="00B1052C">
        <w:rPr>
          <w:b/>
          <w:bCs/>
          <w:color w:val="535353"/>
        </w:rPr>
        <w:t xml:space="preserve">ce dispositif </w:t>
      </w:r>
      <w:r w:rsidR="007C3099" w:rsidRPr="00B1052C">
        <w:rPr>
          <w:b/>
          <w:bCs/>
          <w:color w:val="535353"/>
        </w:rPr>
        <w:t>prévoit que l</w:t>
      </w:r>
      <w:r w:rsidR="00CE318B">
        <w:rPr>
          <w:b/>
          <w:bCs/>
          <w:color w:val="535353"/>
        </w:rPr>
        <w:t>a partie de</w:t>
      </w:r>
      <w:r w:rsidR="007C3099" w:rsidRPr="00B1052C">
        <w:rPr>
          <w:b/>
          <w:bCs/>
          <w:color w:val="535353"/>
        </w:rPr>
        <w:t xml:space="preserve"> fond</w:t>
      </w:r>
      <w:r w:rsidR="00D03821">
        <w:rPr>
          <w:b/>
          <w:bCs/>
          <w:color w:val="535353"/>
        </w:rPr>
        <w:t>s</w:t>
      </w:r>
      <w:r w:rsidR="007C3099" w:rsidRPr="00B1052C">
        <w:rPr>
          <w:b/>
          <w:bCs/>
          <w:color w:val="535353"/>
        </w:rPr>
        <w:t xml:space="preserve"> </w:t>
      </w:r>
      <w:r w:rsidR="00B1052C" w:rsidRPr="00B1052C">
        <w:rPr>
          <w:b/>
          <w:bCs/>
          <w:color w:val="535353"/>
        </w:rPr>
        <w:t>non utilisé</w:t>
      </w:r>
      <w:r w:rsidR="00CE318B">
        <w:rPr>
          <w:b/>
          <w:bCs/>
          <w:color w:val="535353"/>
        </w:rPr>
        <w:t>e,</w:t>
      </w:r>
      <w:r w:rsidR="00B1052C" w:rsidRPr="00B1052C">
        <w:rPr>
          <w:b/>
          <w:bCs/>
          <w:color w:val="535353"/>
        </w:rPr>
        <w:t xml:space="preserve"> soit réinjecté</w:t>
      </w:r>
      <w:r w:rsidR="00CE318B">
        <w:rPr>
          <w:b/>
          <w:bCs/>
          <w:color w:val="535353"/>
        </w:rPr>
        <w:t>e</w:t>
      </w:r>
      <w:r w:rsidR="00B1052C" w:rsidRPr="00B1052C">
        <w:rPr>
          <w:b/>
          <w:bCs/>
          <w:color w:val="535353"/>
        </w:rPr>
        <w:t xml:space="preserve"> dans les crédits d’investissement. </w:t>
      </w:r>
    </w:p>
    <w:p w14:paraId="7C8389DF" w14:textId="516DD563" w:rsidR="00360DE3" w:rsidRDefault="00360DE3" w:rsidP="008339E5">
      <w:pPr>
        <w:spacing w:line="240" w:lineRule="auto"/>
        <w:rPr>
          <w:color w:val="535353"/>
        </w:rPr>
      </w:pPr>
    </w:p>
    <w:p w14:paraId="368AFD35" w14:textId="77777777" w:rsidR="0076083F" w:rsidRDefault="00E13F15" w:rsidP="008339E5">
      <w:pPr>
        <w:spacing w:line="240" w:lineRule="auto"/>
        <w:rPr>
          <w:color w:val="535353"/>
        </w:rPr>
      </w:pPr>
      <w:r>
        <w:rPr>
          <w:color w:val="535353"/>
        </w:rPr>
        <w:t>La Banque de France précisera qu’il existe un certain nombre d’outils financie</w:t>
      </w:r>
      <w:r w:rsidR="00FE4DA6">
        <w:rPr>
          <w:color w:val="535353"/>
        </w:rPr>
        <w:t>r</w:t>
      </w:r>
      <w:r>
        <w:rPr>
          <w:color w:val="535353"/>
        </w:rPr>
        <w:t>s</w:t>
      </w:r>
      <w:r w:rsidR="00F91D18">
        <w:rPr>
          <w:color w:val="535353"/>
        </w:rPr>
        <w:t xml:space="preserve">, dont l’appropriation pourrait être encore améliorée. </w:t>
      </w:r>
    </w:p>
    <w:p w14:paraId="182EB053" w14:textId="77777777" w:rsidR="00B267E7" w:rsidRPr="005B52B2" w:rsidRDefault="0076083F" w:rsidP="00213717">
      <w:pPr>
        <w:spacing w:line="240" w:lineRule="auto"/>
        <w:rPr>
          <w:b/>
          <w:bCs/>
          <w:color w:val="535353"/>
        </w:rPr>
      </w:pPr>
      <w:r>
        <w:rPr>
          <w:color w:val="535353"/>
        </w:rPr>
        <w:t>Par ailleurs, de manière plus globale, il est rappelé le rôle de l’ADEC en tant que coordonnateur de tous les ac</w:t>
      </w:r>
      <w:r w:rsidR="00AA1C42">
        <w:rPr>
          <w:color w:val="535353"/>
        </w:rPr>
        <w:t>teurs financiers.</w:t>
      </w:r>
      <w:r w:rsidR="008059E4">
        <w:rPr>
          <w:color w:val="535353"/>
        </w:rPr>
        <w:t xml:space="preserve"> En particulier, </w:t>
      </w:r>
      <w:r w:rsidR="008059E4" w:rsidRPr="005B52B2">
        <w:rPr>
          <w:b/>
          <w:bCs/>
          <w:color w:val="535353"/>
        </w:rPr>
        <w:t>l’ADEC travaille à la création de deux nouveaux fonds</w:t>
      </w:r>
      <w:r w:rsidR="00213717" w:rsidRPr="005B52B2">
        <w:rPr>
          <w:b/>
          <w:bCs/>
          <w:color w:val="535353"/>
        </w:rPr>
        <w:t xml:space="preserve"> : le fonds relance financé par le FEDER à hauteur de 8 M d’euros, auquel viendrait s’ajouter </w:t>
      </w:r>
      <w:r w:rsidR="00CA1EF8" w:rsidRPr="005B52B2">
        <w:rPr>
          <w:b/>
          <w:bCs/>
          <w:color w:val="535353"/>
        </w:rPr>
        <w:t xml:space="preserve">un fonds de 12 M d’euros apporté par différents partenaires, soit au total 20 M d’euros. </w:t>
      </w:r>
    </w:p>
    <w:p w14:paraId="24006D2A" w14:textId="77777777" w:rsidR="00A57EA9" w:rsidRDefault="00B267E7" w:rsidP="00213717">
      <w:pPr>
        <w:spacing w:line="240" w:lineRule="auto"/>
        <w:rPr>
          <w:color w:val="535353"/>
        </w:rPr>
      </w:pPr>
      <w:r>
        <w:rPr>
          <w:color w:val="535353"/>
        </w:rPr>
        <w:t xml:space="preserve">On mentionnera également </w:t>
      </w:r>
      <w:r w:rsidRPr="005B52B2">
        <w:rPr>
          <w:b/>
          <w:bCs/>
          <w:color w:val="535353"/>
        </w:rPr>
        <w:t xml:space="preserve">le </w:t>
      </w:r>
      <w:r w:rsidR="00832F69" w:rsidRPr="005B52B2">
        <w:rPr>
          <w:b/>
          <w:bCs/>
          <w:color w:val="535353"/>
        </w:rPr>
        <w:t xml:space="preserve">fonds </w:t>
      </w:r>
      <w:r w:rsidR="00DE0B99" w:rsidRPr="005B52B2">
        <w:rPr>
          <w:b/>
          <w:bCs/>
          <w:color w:val="535353"/>
        </w:rPr>
        <w:t>React-EU issu du FEDER</w:t>
      </w:r>
      <w:r w:rsidR="00DE0B99">
        <w:rPr>
          <w:color w:val="535353"/>
        </w:rPr>
        <w:t xml:space="preserve"> dans le cadre de la </w:t>
      </w:r>
      <w:r w:rsidR="00737686">
        <w:rPr>
          <w:color w:val="535353"/>
        </w:rPr>
        <w:t>consolidation</w:t>
      </w:r>
      <w:r w:rsidR="00DE0B99">
        <w:rPr>
          <w:color w:val="535353"/>
        </w:rPr>
        <w:t xml:space="preserve"> des situations en déficit</w:t>
      </w:r>
      <w:r w:rsidR="00732D9C">
        <w:rPr>
          <w:color w:val="535353"/>
        </w:rPr>
        <w:t xml:space="preserve">, et </w:t>
      </w:r>
      <w:r w:rsidR="00A57EA9">
        <w:rPr>
          <w:color w:val="535353"/>
        </w:rPr>
        <w:t>à l’échelle nationale :</w:t>
      </w:r>
    </w:p>
    <w:p w14:paraId="14E66E21" w14:textId="298A9DDB" w:rsidR="00CF60FC" w:rsidRDefault="00E371B8" w:rsidP="00A57EA9">
      <w:pPr>
        <w:pStyle w:val="Paragraphedeliste"/>
        <w:numPr>
          <w:ilvl w:val="0"/>
          <w:numId w:val="9"/>
        </w:numPr>
        <w:spacing w:line="240" w:lineRule="auto"/>
        <w:rPr>
          <w:color w:val="535353"/>
        </w:rPr>
      </w:pPr>
      <w:r>
        <w:rPr>
          <w:color w:val="535353"/>
        </w:rPr>
        <w:t>Le contrat de plan à signer</w:t>
      </w:r>
      <w:r w:rsidR="005B52B2">
        <w:rPr>
          <w:color w:val="535353"/>
        </w:rPr>
        <w:t> ;</w:t>
      </w:r>
    </w:p>
    <w:p w14:paraId="733BD35D" w14:textId="58CDBEFC" w:rsidR="00E371B8" w:rsidRDefault="00E371B8" w:rsidP="00A57EA9">
      <w:pPr>
        <w:pStyle w:val="Paragraphedeliste"/>
        <w:numPr>
          <w:ilvl w:val="0"/>
          <w:numId w:val="9"/>
        </w:numPr>
        <w:spacing w:line="240" w:lineRule="auto"/>
        <w:rPr>
          <w:color w:val="535353"/>
        </w:rPr>
      </w:pPr>
      <w:r>
        <w:rPr>
          <w:color w:val="535353"/>
        </w:rPr>
        <w:t>Le PTIC à revoir</w:t>
      </w:r>
      <w:r w:rsidR="005B52B2">
        <w:rPr>
          <w:color w:val="535353"/>
        </w:rPr>
        <w:t> ;</w:t>
      </w:r>
    </w:p>
    <w:p w14:paraId="509125C8" w14:textId="61C7D12F" w:rsidR="00E371B8" w:rsidRDefault="00E371B8" w:rsidP="00E371B8">
      <w:pPr>
        <w:pStyle w:val="Paragraphedeliste"/>
        <w:numPr>
          <w:ilvl w:val="0"/>
          <w:numId w:val="9"/>
        </w:numPr>
        <w:spacing w:line="240" w:lineRule="auto"/>
        <w:rPr>
          <w:color w:val="535353"/>
        </w:rPr>
      </w:pPr>
      <w:r>
        <w:rPr>
          <w:color w:val="535353"/>
        </w:rPr>
        <w:t>Les fonds à préserver : le fonds de réserve (11 M d’euros)</w:t>
      </w:r>
      <w:r w:rsidR="005B52B2">
        <w:rPr>
          <w:color w:val="535353"/>
        </w:rPr>
        <w:t> ;</w:t>
      </w:r>
    </w:p>
    <w:p w14:paraId="6113D41F" w14:textId="7E57936E" w:rsidR="00E371B8" w:rsidRDefault="00CA786A" w:rsidP="00E371B8">
      <w:pPr>
        <w:pStyle w:val="Paragraphedeliste"/>
        <w:numPr>
          <w:ilvl w:val="0"/>
          <w:numId w:val="9"/>
        </w:numPr>
        <w:spacing w:line="240" w:lineRule="auto"/>
        <w:rPr>
          <w:color w:val="535353"/>
        </w:rPr>
      </w:pPr>
      <w:r>
        <w:rPr>
          <w:color w:val="535353"/>
        </w:rPr>
        <w:t>Les fonds de France Relance (120 M d’euros d’ici 2030) ;</w:t>
      </w:r>
    </w:p>
    <w:p w14:paraId="00BFCE6A" w14:textId="242359A0" w:rsidR="00CA786A" w:rsidRDefault="00CA786A" w:rsidP="00E371B8">
      <w:pPr>
        <w:pStyle w:val="Paragraphedeliste"/>
        <w:numPr>
          <w:ilvl w:val="0"/>
          <w:numId w:val="9"/>
        </w:numPr>
        <w:spacing w:line="240" w:lineRule="auto"/>
        <w:rPr>
          <w:color w:val="535353"/>
        </w:rPr>
      </w:pPr>
      <w:r>
        <w:rPr>
          <w:color w:val="535353"/>
        </w:rPr>
        <w:t xml:space="preserve">Eventuellement </w:t>
      </w:r>
      <w:r w:rsidR="00B7708A">
        <w:rPr>
          <w:color w:val="535353"/>
        </w:rPr>
        <w:t>la 4</w:t>
      </w:r>
      <w:r w:rsidR="00B7708A" w:rsidRPr="00B7708A">
        <w:rPr>
          <w:color w:val="535353"/>
          <w:vertAlign w:val="superscript"/>
        </w:rPr>
        <w:t>ème</w:t>
      </w:r>
      <w:r w:rsidR="00B7708A">
        <w:rPr>
          <w:color w:val="535353"/>
        </w:rPr>
        <w:t xml:space="preserve"> tranche du PEI</w:t>
      </w:r>
      <w:r w:rsidR="005B52B2">
        <w:rPr>
          <w:color w:val="535353"/>
        </w:rPr>
        <w:t>.</w:t>
      </w:r>
    </w:p>
    <w:p w14:paraId="7B3205E5" w14:textId="1CA71ED2" w:rsidR="005B52B2" w:rsidRDefault="005B52B2" w:rsidP="005B52B2">
      <w:pPr>
        <w:spacing w:line="240" w:lineRule="auto"/>
        <w:rPr>
          <w:color w:val="535353"/>
        </w:rPr>
      </w:pPr>
    </w:p>
    <w:p w14:paraId="16FD4A57" w14:textId="77777777" w:rsidR="003B3227" w:rsidRDefault="00A50669" w:rsidP="005B52B2">
      <w:pPr>
        <w:spacing w:line="240" w:lineRule="auto"/>
        <w:rPr>
          <w:color w:val="535353"/>
        </w:rPr>
      </w:pPr>
      <w:r>
        <w:rPr>
          <w:color w:val="535353"/>
        </w:rPr>
        <w:t xml:space="preserve">Il est également envisagé </w:t>
      </w:r>
      <w:r w:rsidRPr="00EF5C7D">
        <w:rPr>
          <w:b/>
          <w:bCs/>
          <w:color w:val="535353"/>
        </w:rPr>
        <w:t>des m</w:t>
      </w:r>
      <w:r w:rsidR="004B29DA" w:rsidRPr="00EF5C7D">
        <w:rPr>
          <w:b/>
          <w:bCs/>
          <w:color w:val="535353"/>
        </w:rPr>
        <w:t>o</w:t>
      </w:r>
      <w:r w:rsidRPr="00EF5C7D">
        <w:rPr>
          <w:b/>
          <w:bCs/>
          <w:color w:val="535353"/>
        </w:rPr>
        <w:t>des de financement alternatifs</w:t>
      </w:r>
      <w:r>
        <w:rPr>
          <w:color w:val="535353"/>
        </w:rPr>
        <w:t xml:space="preserve"> de type</w:t>
      </w:r>
      <w:r w:rsidR="003B3227">
        <w:rPr>
          <w:color w:val="535353"/>
        </w:rPr>
        <w:t> :</w:t>
      </w:r>
    </w:p>
    <w:p w14:paraId="5256288B" w14:textId="55092002" w:rsidR="005B52B2" w:rsidRDefault="003B3227" w:rsidP="003B3227">
      <w:pPr>
        <w:pStyle w:val="Paragraphedeliste"/>
        <w:numPr>
          <w:ilvl w:val="0"/>
          <w:numId w:val="10"/>
        </w:numPr>
        <w:spacing w:line="240" w:lineRule="auto"/>
        <w:rPr>
          <w:color w:val="535353"/>
        </w:rPr>
      </w:pPr>
      <w:r>
        <w:rPr>
          <w:color w:val="535353"/>
        </w:rPr>
        <w:t>L’</w:t>
      </w:r>
      <w:r w:rsidR="00A50669" w:rsidRPr="003B3227">
        <w:rPr>
          <w:color w:val="535353"/>
        </w:rPr>
        <w:t xml:space="preserve">appel public à l’épargne </w:t>
      </w:r>
      <w:r w:rsidR="004B29DA" w:rsidRPr="003B3227">
        <w:rPr>
          <w:color w:val="535353"/>
        </w:rPr>
        <w:t>(une épargne locale à mobiliser au service de l’économie locale)</w:t>
      </w:r>
      <w:r>
        <w:rPr>
          <w:color w:val="535353"/>
        </w:rPr>
        <w:t> ;</w:t>
      </w:r>
    </w:p>
    <w:p w14:paraId="3BCE65CB" w14:textId="44DB88E3" w:rsidR="003B3227" w:rsidRDefault="003B3227" w:rsidP="003B3227">
      <w:pPr>
        <w:pStyle w:val="Paragraphedeliste"/>
        <w:numPr>
          <w:ilvl w:val="0"/>
          <w:numId w:val="10"/>
        </w:numPr>
        <w:spacing w:line="240" w:lineRule="auto"/>
        <w:rPr>
          <w:color w:val="535353"/>
        </w:rPr>
      </w:pPr>
      <w:r>
        <w:rPr>
          <w:color w:val="535353"/>
        </w:rPr>
        <w:t>Le financement participatif pour l’énergie par exemple ;</w:t>
      </w:r>
    </w:p>
    <w:p w14:paraId="4233C8A7" w14:textId="2AAF1516" w:rsidR="003B3227" w:rsidRPr="003B3227" w:rsidRDefault="002E02F0" w:rsidP="003B3227">
      <w:pPr>
        <w:pStyle w:val="Paragraphedeliste"/>
        <w:numPr>
          <w:ilvl w:val="0"/>
          <w:numId w:val="10"/>
        </w:numPr>
        <w:spacing w:line="240" w:lineRule="auto"/>
        <w:rPr>
          <w:color w:val="535353"/>
        </w:rPr>
      </w:pPr>
      <w:r>
        <w:rPr>
          <w:color w:val="535353"/>
        </w:rPr>
        <w:t xml:space="preserve">Des partenariats à renforcer avec des acteurs comme BPI, la Banque des territoires, BEI. </w:t>
      </w:r>
    </w:p>
    <w:p w14:paraId="0F5FF288" w14:textId="4EF89775" w:rsidR="005B52B2" w:rsidRDefault="005B52B2" w:rsidP="005B52B2">
      <w:pPr>
        <w:spacing w:line="240" w:lineRule="auto"/>
        <w:rPr>
          <w:color w:val="535353"/>
        </w:rPr>
      </w:pPr>
    </w:p>
    <w:p w14:paraId="31D73600" w14:textId="064E0850" w:rsidR="002F0C9A" w:rsidRPr="005B52B2" w:rsidRDefault="002F0C9A" w:rsidP="005B52B2">
      <w:pPr>
        <w:spacing w:line="240" w:lineRule="auto"/>
        <w:rPr>
          <w:color w:val="535353"/>
        </w:rPr>
      </w:pPr>
      <w:r>
        <w:rPr>
          <w:color w:val="535353"/>
        </w:rPr>
        <w:t xml:space="preserve">Enfin, il a été proposé l’idée de </w:t>
      </w:r>
      <w:r w:rsidRPr="002247CD">
        <w:rPr>
          <w:b/>
          <w:bCs/>
          <w:color w:val="535353"/>
        </w:rPr>
        <w:t xml:space="preserve">créer un éco-système financier et/ou une cellule </w:t>
      </w:r>
      <w:r w:rsidR="00B255EE" w:rsidRPr="002247CD">
        <w:rPr>
          <w:b/>
          <w:bCs/>
          <w:color w:val="535353"/>
        </w:rPr>
        <w:t xml:space="preserve">d’ingénierie financière de projet </w:t>
      </w:r>
      <w:r w:rsidR="00B255EE">
        <w:rPr>
          <w:color w:val="535353"/>
        </w:rPr>
        <w:t xml:space="preserve">afin </w:t>
      </w:r>
      <w:r w:rsidR="00A46962">
        <w:rPr>
          <w:color w:val="535353"/>
        </w:rPr>
        <w:t>d’identifier</w:t>
      </w:r>
      <w:r w:rsidR="00B255EE">
        <w:rPr>
          <w:color w:val="535353"/>
        </w:rPr>
        <w:t xml:space="preserve"> </w:t>
      </w:r>
      <w:r w:rsidR="00A46962">
        <w:rPr>
          <w:color w:val="535353"/>
        </w:rPr>
        <w:t xml:space="preserve">des </w:t>
      </w:r>
      <w:r w:rsidR="00B255EE">
        <w:rPr>
          <w:color w:val="535353"/>
        </w:rPr>
        <w:t>fonds</w:t>
      </w:r>
      <w:r w:rsidR="00A46962">
        <w:rPr>
          <w:color w:val="535353"/>
        </w:rPr>
        <w:t xml:space="preserve"> sur lesquels les acteurs pourraient se positionner</w:t>
      </w:r>
      <w:r w:rsidR="001F251F">
        <w:rPr>
          <w:color w:val="535353"/>
        </w:rPr>
        <w:t xml:space="preserve"> au titre de leurs projets</w:t>
      </w:r>
      <w:r w:rsidR="00B255EE">
        <w:rPr>
          <w:color w:val="535353"/>
        </w:rPr>
        <w:t>, d</w:t>
      </w:r>
      <w:r w:rsidR="001F251F">
        <w:rPr>
          <w:color w:val="535353"/>
        </w:rPr>
        <w:t xml:space="preserve">e les </w:t>
      </w:r>
      <w:r w:rsidR="00B255EE">
        <w:rPr>
          <w:color w:val="535353"/>
        </w:rPr>
        <w:t>accompagner</w:t>
      </w:r>
      <w:r w:rsidR="00A46962">
        <w:rPr>
          <w:color w:val="535353"/>
        </w:rPr>
        <w:t xml:space="preserve"> dans </w:t>
      </w:r>
      <w:r w:rsidR="001E6655">
        <w:rPr>
          <w:color w:val="535353"/>
        </w:rPr>
        <w:t>le cadre de</w:t>
      </w:r>
      <w:r w:rsidR="001F251F">
        <w:rPr>
          <w:color w:val="535353"/>
        </w:rPr>
        <w:t xml:space="preserve"> </w:t>
      </w:r>
      <w:r w:rsidR="000F2BD9">
        <w:rPr>
          <w:color w:val="535353"/>
        </w:rPr>
        <w:t xml:space="preserve">leur candidature (réponse à appel à projet). </w:t>
      </w:r>
      <w:r w:rsidR="001E6655">
        <w:rPr>
          <w:color w:val="535353"/>
        </w:rPr>
        <w:t xml:space="preserve"> </w:t>
      </w:r>
    </w:p>
    <w:p w14:paraId="79B8EB56" w14:textId="77777777" w:rsidR="00911F63" w:rsidRPr="00911F63" w:rsidRDefault="00911F63" w:rsidP="00C528FF">
      <w:pPr>
        <w:spacing w:line="240" w:lineRule="auto"/>
        <w:rPr>
          <w:color w:val="535353"/>
        </w:rPr>
      </w:pPr>
    </w:p>
    <w:p w14:paraId="7AEDB83D" w14:textId="77777777" w:rsidR="00602A18" w:rsidRPr="00911F63" w:rsidRDefault="00602A18" w:rsidP="00C528FF">
      <w:pPr>
        <w:spacing w:line="240" w:lineRule="auto"/>
        <w:rPr>
          <w:color w:val="535353"/>
        </w:rPr>
      </w:pPr>
    </w:p>
    <w:p w14:paraId="37CFDC68" w14:textId="7A4E371D" w:rsidR="00602A18" w:rsidRPr="00911F63" w:rsidRDefault="00602A18" w:rsidP="00C16E81">
      <w:pPr>
        <w:pStyle w:val="Paragraphedeliste"/>
        <w:numPr>
          <w:ilvl w:val="0"/>
          <w:numId w:val="1"/>
        </w:numPr>
        <w:spacing w:line="240" w:lineRule="auto"/>
        <w:rPr>
          <w:b/>
          <w:bCs/>
          <w:color w:val="535353"/>
        </w:rPr>
      </w:pPr>
      <w:r w:rsidRPr="00911F63">
        <w:rPr>
          <w:b/>
          <w:bCs/>
          <w:color w:val="535353"/>
        </w:rPr>
        <w:t>Autres recommandations</w:t>
      </w:r>
    </w:p>
    <w:p w14:paraId="0CC1F2B4" w14:textId="77777777" w:rsidR="00602A18" w:rsidRPr="00911F63" w:rsidRDefault="00602A18" w:rsidP="00C528FF">
      <w:pPr>
        <w:spacing w:line="240" w:lineRule="auto"/>
        <w:rPr>
          <w:color w:val="535353"/>
        </w:rPr>
      </w:pPr>
    </w:p>
    <w:p w14:paraId="446EA480" w14:textId="02FC8F05" w:rsidR="0079016B" w:rsidRDefault="004B0487" w:rsidP="00C16E81">
      <w:pPr>
        <w:pStyle w:val="Paragraphedeliste"/>
        <w:numPr>
          <w:ilvl w:val="0"/>
          <w:numId w:val="2"/>
        </w:numPr>
        <w:spacing w:line="240" w:lineRule="auto"/>
        <w:rPr>
          <w:color w:val="535353"/>
        </w:rPr>
      </w:pPr>
      <w:r>
        <w:rPr>
          <w:color w:val="535353"/>
        </w:rPr>
        <w:t>Accompagner</w:t>
      </w:r>
      <w:r w:rsidR="00CB328F">
        <w:rPr>
          <w:color w:val="535353"/>
        </w:rPr>
        <w:t xml:space="preserve"> </w:t>
      </w:r>
      <w:r>
        <w:rPr>
          <w:color w:val="535353"/>
        </w:rPr>
        <w:t xml:space="preserve">à </w:t>
      </w:r>
      <w:r w:rsidR="00CB328F">
        <w:rPr>
          <w:color w:val="535353"/>
        </w:rPr>
        <w:t>l’ingénierie de projet</w:t>
      </w:r>
      <w:r w:rsidR="00750E8C">
        <w:rPr>
          <w:color w:val="535353"/>
        </w:rPr>
        <w:t> ;</w:t>
      </w:r>
    </w:p>
    <w:p w14:paraId="4287F83D" w14:textId="6EF185A4" w:rsidR="00CB328F" w:rsidRDefault="00CB328F" w:rsidP="00C16E81">
      <w:pPr>
        <w:pStyle w:val="Paragraphedeliste"/>
        <w:numPr>
          <w:ilvl w:val="0"/>
          <w:numId w:val="2"/>
        </w:numPr>
        <w:spacing w:line="240" w:lineRule="auto"/>
        <w:rPr>
          <w:color w:val="535353"/>
        </w:rPr>
      </w:pPr>
      <w:r>
        <w:rPr>
          <w:color w:val="535353"/>
        </w:rPr>
        <w:t>Accompagner la structuration de l’action collective autour des filières</w:t>
      </w:r>
      <w:r w:rsidR="00750E8C">
        <w:rPr>
          <w:color w:val="535353"/>
        </w:rPr>
        <w:t> ;</w:t>
      </w:r>
    </w:p>
    <w:p w14:paraId="6A7A008F" w14:textId="0CEF69C9" w:rsidR="00CB328F" w:rsidRDefault="00CB328F" w:rsidP="00C16E81">
      <w:pPr>
        <w:pStyle w:val="Paragraphedeliste"/>
        <w:numPr>
          <w:ilvl w:val="0"/>
          <w:numId w:val="2"/>
        </w:numPr>
        <w:spacing w:line="240" w:lineRule="auto"/>
        <w:rPr>
          <w:color w:val="535353"/>
        </w:rPr>
      </w:pPr>
      <w:r>
        <w:rPr>
          <w:color w:val="535353"/>
        </w:rPr>
        <w:t>Accompagner l’animation de filières, notamment à l’innovation, à l’export</w:t>
      </w:r>
      <w:r w:rsidR="00A23ED9">
        <w:rPr>
          <w:color w:val="535353"/>
        </w:rPr>
        <w:t>… pour susciter des projets</w:t>
      </w:r>
      <w:r w:rsidR="00750E8C">
        <w:rPr>
          <w:color w:val="535353"/>
        </w:rPr>
        <w:t> ;</w:t>
      </w:r>
    </w:p>
    <w:p w14:paraId="789710F7" w14:textId="141957A8" w:rsidR="00CB328F" w:rsidRDefault="00CB328F" w:rsidP="00C16E81">
      <w:pPr>
        <w:pStyle w:val="Paragraphedeliste"/>
        <w:numPr>
          <w:ilvl w:val="0"/>
          <w:numId w:val="2"/>
        </w:numPr>
        <w:spacing w:line="240" w:lineRule="auto"/>
        <w:rPr>
          <w:color w:val="535353"/>
        </w:rPr>
      </w:pPr>
      <w:r>
        <w:rPr>
          <w:color w:val="535353"/>
        </w:rPr>
        <w:t xml:space="preserve">Renforcer les instruments financiers pour </w:t>
      </w:r>
      <w:r w:rsidR="000E5B02">
        <w:rPr>
          <w:color w:val="535353"/>
        </w:rPr>
        <w:t xml:space="preserve">soutenir la </w:t>
      </w:r>
      <w:r w:rsidR="00535ADF">
        <w:rPr>
          <w:color w:val="535353"/>
        </w:rPr>
        <w:t>viabilité économique d’un projet</w:t>
      </w:r>
      <w:r>
        <w:rPr>
          <w:color w:val="535353"/>
        </w:rPr>
        <w:t xml:space="preserve"> </w:t>
      </w:r>
      <w:r w:rsidR="00535ADF">
        <w:rPr>
          <w:color w:val="535353"/>
        </w:rPr>
        <w:t>(en favorisant par exemple l’accès à un financement bancaire complémentaire)</w:t>
      </w:r>
      <w:r w:rsidR="00750E8C">
        <w:rPr>
          <w:color w:val="535353"/>
        </w:rPr>
        <w:t> ;</w:t>
      </w:r>
    </w:p>
    <w:p w14:paraId="4742E24E" w14:textId="57D050BD" w:rsidR="00535ADF" w:rsidRDefault="00006187" w:rsidP="00C16E81">
      <w:pPr>
        <w:pStyle w:val="Paragraphedeliste"/>
        <w:numPr>
          <w:ilvl w:val="0"/>
          <w:numId w:val="2"/>
        </w:numPr>
        <w:spacing w:line="240" w:lineRule="auto"/>
        <w:rPr>
          <w:color w:val="535353"/>
        </w:rPr>
      </w:pPr>
      <w:r>
        <w:rPr>
          <w:color w:val="535353"/>
        </w:rPr>
        <w:t xml:space="preserve">Déployer des instruments financiers plus ambitieux dans certains secteurs jugés prioritaires : </w:t>
      </w:r>
      <w:r w:rsidR="00750E8C">
        <w:rPr>
          <w:color w:val="535353"/>
        </w:rPr>
        <w:t>l’</w:t>
      </w:r>
      <w:r>
        <w:rPr>
          <w:color w:val="535353"/>
        </w:rPr>
        <w:t>énergie</w:t>
      </w:r>
      <w:r w:rsidR="00750E8C">
        <w:rPr>
          <w:color w:val="535353"/>
        </w:rPr>
        <w:t xml:space="preserve"> par exemple ;</w:t>
      </w:r>
    </w:p>
    <w:p w14:paraId="55DFF08F" w14:textId="1C7460BB" w:rsidR="004B0487" w:rsidRDefault="004B0487" w:rsidP="00C16E81">
      <w:pPr>
        <w:pStyle w:val="Paragraphedeliste"/>
        <w:numPr>
          <w:ilvl w:val="0"/>
          <w:numId w:val="2"/>
        </w:numPr>
        <w:spacing w:line="240" w:lineRule="auto"/>
        <w:rPr>
          <w:color w:val="535353"/>
        </w:rPr>
      </w:pPr>
      <w:r>
        <w:rPr>
          <w:color w:val="535353"/>
        </w:rPr>
        <w:t xml:space="preserve">Soutenir </w:t>
      </w:r>
      <w:r w:rsidR="000C404E">
        <w:rPr>
          <w:color w:val="535353"/>
        </w:rPr>
        <w:t xml:space="preserve">la création de petiotes entreprises en milieu </w:t>
      </w:r>
      <w:r w:rsidR="00737686">
        <w:rPr>
          <w:color w:val="535353"/>
        </w:rPr>
        <w:t>rural</w:t>
      </w:r>
      <w:r w:rsidR="000C404E">
        <w:rPr>
          <w:color w:val="535353"/>
        </w:rPr>
        <w:t xml:space="preserve"> par le biais des </w:t>
      </w:r>
      <w:r w:rsidR="00750E8C">
        <w:rPr>
          <w:color w:val="535353"/>
        </w:rPr>
        <w:t>appels à projet ;</w:t>
      </w:r>
    </w:p>
    <w:p w14:paraId="207C6800" w14:textId="64CF99B6" w:rsidR="00216CDF" w:rsidRDefault="00216CDF" w:rsidP="00C16E81">
      <w:pPr>
        <w:pStyle w:val="Paragraphedeliste"/>
        <w:numPr>
          <w:ilvl w:val="0"/>
          <w:numId w:val="2"/>
        </w:numPr>
        <w:spacing w:line="240" w:lineRule="auto"/>
        <w:rPr>
          <w:color w:val="535353"/>
        </w:rPr>
      </w:pPr>
      <w:r>
        <w:rPr>
          <w:color w:val="535353"/>
        </w:rPr>
        <w:t xml:space="preserve">Simplifier </w:t>
      </w:r>
      <w:r w:rsidR="00A65DB4">
        <w:rPr>
          <w:color w:val="535353"/>
        </w:rPr>
        <w:t>les procédures y compris pour avoir accès à des outils financiers</w:t>
      </w:r>
      <w:r w:rsidR="00750E8C">
        <w:rPr>
          <w:color w:val="535353"/>
        </w:rPr>
        <w:t> ;</w:t>
      </w:r>
    </w:p>
    <w:p w14:paraId="3FBF0A6F" w14:textId="5A4A23F2" w:rsidR="0001569F" w:rsidRDefault="0001569F" w:rsidP="00C16E81">
      <w:pPr>
        <w:pStyle w:val="Paragraphedeliste"/>
        <w:numPr>
          <w:ilvl w:val="0"/>
          <w:numId w:val="2"/>
        </w:numPr>
        <w:spacing w:line="240" w:lineRule="auto"/>
        <w:rPr>
          <w:color w:val="535353"/>
        </w:rPr>
      </w:pPr>
      <w:r>
        <w:rPr>
          <w:color w:val="535353"/>
        </w:rPr>
        <w:t xml:space="preserve">Renforcer la maitrise linguistique de l’anglais </w:t>
      </w:r>
      <w:r w:rsidR="00310527">
        <w:rPr>
          <w:color w:val="535353"/>
        </w:rPr>
        <w:t>– en l’intégrant dans les cursus de formation – pour préparer à l’export</w:t>
      </w:r>
      <w:r w:rsidR="00750E8C">
        <w:rPr>
          <w:color w:val="535353"/>
        </w:rPr>
        <w:t> ;</w:t>
      </w:r>
    </w:p>
    <w:p w14:paraId="58EEB023" w14:textId="5E655F6D" w:rsidR="001A7F9B" w:rsidRDefault="00597643" w:rsidP="00C16E81">
      <w:pPr>
        <w:pStyle w:val="Paragraphedeliste"/>
        <w:numPr>
          <w:ilvl w:val="0"/>
          <w:numId w:val="2"/>
        </w:numPr>
        <w:spacing w:line="240" w:lineRule="auto"/>
        <w:rPr>
          <w:color w:val="535353"/>
        </w:rPr>
      </w:pPr>
      <w:r>
        <w:rPr>
          <w:color w:val="535353"/>
        </w:rPr>
        <w:t>Sensibiliser les acteurs du réseau bancaire pour revoir leur vision du risque et s’adapter ainsi au besoin d’accompagnement des entreprises à l’échelle locale ;</w:t>
      </w:r>
    </w:p>
    <w:p w14:paraId="720ABCED" w14:textId="100BE523" w:rsidR="00CF05E2" w:rsidRPr="00911F63" w:rsidRDefault="00CF05E2" w:rsidP="00C16E81">
      <w:pPr>
        <w:pStyle w:val="Paragraphedeliste"/>
        <w:numPr>
          <w:ilvl w:val="0"/>
          <w:numId w:val="2"/>
        </w:numPr>
        <w:spacing w:line="240" w:lineRule="auto"/>
        <w:rPr>
          <w:color w:val="535353"/>
        </w:rPr>
      </w:pPr>
      <w:r>
        <w:rPr>
          <w:color w:val="535353"/>
        </w:rPr>
        <w:t>Favoriser les entreprises et l’emploi par le biais de la commande publique</w:t>
      </w:r>
      <w:r w:rsidR="00B66714">
        <w:rPr>
          <w:color w:val="535353"/>
        </w:rPr>
        <w:t xml:space="preserve">, pour soutenir la structuration de </w:t>
      </w:r>
      <w:r w:rsidR="00654611">
        <w:rPr>
          <w:color w:val="535353"/>
        </w:rPr>
        <w:t>l’offre (début mai).</w:t>
      </w:r>
    </w:p>
    <w:sectPr w:rsidR="00CF05E2" w:rsidRPr="00911F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285C" w14:textId="77777777" w:rsidR="00763173" w:rsidRDefault="00763173" w:rsidP="0010389D">
      <w:pPr>
        <w:spacing w:line="240" w:lineRule="auto"/>
      </w:pPr>
      <w:r>
        <w:separator/>
      </w:r>
    </w:p>
  </w:endnote>
  <w:endnote w:type="continuationSeparator" w:id="0">
    <w:p w14:paraId="404A3ADE" w14:textId="77777777" w:rsidR="00763173" w:rsidRDefault="00763173"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694B" w14:textId="77777777" w:rsidR="00763173" w:rsidRDefault="00763173" w:rsidP="0010389D">
      <w:pPr>
        <w:spacing w:line="240" w:lineRule="auto"/>
      </w:pPr>
      <w:r>
        <w:separator/>
      </w:r>
    </w:p>
  </w:footnote>
  <w:footnote w:type="continuationSeparator" w:id="0">
    <w:p w14:paraId="77510AE2" w14:textId="77777777" w:rsidR="00763173" w:rsidRDefault="00763173" w:rsidP="00103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5E0B"/>
    <w:multiLevelType w:val="hybridMultilevel"/>
    <w:tmpl w:val="3B52492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28602A2E"/>
    <w:multiLevelType w:val="hybridMultilevel"/>
    <w:tmpl w:val="B1B4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68121A"/>
    <w:multiLevelType w:val="hybridMultilevel"/>
    <w:tmpl w:val="3AEA9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8B3FDE"/>
    <w:multiLevelType w:val="hybridMultilevel"/>
    <w:tmpl w:val="CE984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352A55"/>
    <w:multiLevelType w:val="hybridMultilevel"/>
    <w:tmpl w:val="D892E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484DD7"/>
    <w:multiLevelType w:val="hybridMultilevel"/>
    <w:tmpl w:val="F2BA670E"/>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7" w15:restartNumberingAfterBreak="0">
    <w:nsid w:val="7B3D1CF6"/>
    <w:multiLevelType w:val="hybridMultilevel"/>
    <w:tmpl w:val="651EB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BF08E2"/>
    <w:multiLevelType w:val="hybridMultilevel"/>
    <w:tmpl w:val="C882C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1444934">
    <w:abstractNumId w:val="4"/>
  </w:num>
  <w:num w:numId="2" w16cid:durableId="828323234">
    <w:abstractNumId w:val="8"/>
  </w:num>
  <w:num w:numId="3" w16cid:durableId="1913277110">
    <w:abstractNumId w:val="5"/>
  </w:num>
  <w:num w:numId="4" w16cid:durableId="83302638">
    <w:abstractNumId w:val="9"/>
  </w:num>
  <w:num w:numId="5" w16cid:durableId="1976447571">
    <w:abstractNumId w:val="3"/>
  </w:num>
  <w:num w:numId="6" w16cid:durableId="1659378365">
    <w:abstractNumId w:val="1"/>
  </w:num>
  <w:num w:numId="7" w16cid:durableId="1154487063">
    <w:abstractNumId w:val="7"/>
  </w:num>
  <w:num w:numId="8" w16cid:durableId="1216816456">
    <w:abstractNumId w:val="6"/>
  </w:num>
  <w:num w:numId="9" w16cid:durableId="1552762401">
    <w:abstractNumId w:val="0"/>
  </w:num>
  <w:num w:numId="10" w16cid:durableId="2138598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0FE"/>
    <w:rsid w:val="000009C6"/>
    <w:rsid w:val="00001695"/>
    <w:rsid w:val="00001919"/>
    <w:rsid w:val="000043A7"/>
    <w:rsid w:val="00004902"/>
    <w:rsid w:val="00004C44"/>
    <w:rsid w:val="00004C8C"/>
    <w:rsid w:val="000056EB"/>
    <w:rsid w:val="000057EA"/>
    <w:rsid w:val="00006187"/>
    <w:rsid w:val="0001010E"/>
    <w:rsid w:val="000128A9"/>
    <w:rsid w:val="00012A1E"/>
    <w:rsid w:val="00013009"/>
    <w:rsid w:val="00013998"/>
    <w:rsid w:val="00014219"/>
    <w:rsid w:val="0001569F"/>
    <w:rsid w:val="00015D61"/>
    <w:rsid w:val="00016A69"/>
    <w:rsid w:val="00016BA4"/>
    <w:rsid w:val="0002003F"/>
    <w:rsid w:val="0002092B"/>
    <w:rsid w:val="00023715"/>
    <w:rsid w:val="0002540F"/>
    <w:rsid w:val="00025756"/>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38AA"/>
    <w:rsid w:val="000649FC"/>
    <w:rsid w:val="00065933"/>
    <w:rsid w:val="0006612D"/>
    <w:rsid w:val="00066457"/>
    <w:rsid w:val="0006666B"/>
    <w:rsid w:val="000708B3"/>
    <w:rsid w:val="00071A5E"/>
    <w:rsid w:val="00074854"/>
    <w:rsid w:val="000752B1"/>
    <w:rsid w:val="000756AB"/>
    <w:rsid w:val="0008197C"/>
    <w:rsid w:val="00082E02"/>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B7D03"/>
    <w:rsid w:val="000C0D0C"/>
    <w:rsid w:val="000C185A"/>
    <w:rsid w:val="000C2707"/>
    <w:rsid w:val="000C28BF"/>
    <w:rsid w:val="000C3497"/>
    <w:rsid w:val="000C3F90"/>
    <w:rsid w:val="000C404E"/>
    <w:rsid w:val="000C45A0"/>
    <w:rsid w:val="000C53A2"/>
    <w:rsid w:val="000C5A74"/>
    <w:rsid w:val="000D109E"/>
    <w:rsid w:val="000D16A5"/>
    <w:rsid w:val="000D2B3E"/>
    <w:rsid w:val="000D428D"/>
    <w:rsid w:val="000D59F1"/>
    <w:rsid w:val="000D6DE9"/>
    <w:rsid w:val="000E17B2"/>
    <w:rsid w:val="000E1DB0"/>
    <w:rsid w:val="000E21F2"/>
    <w:rsid w:val="000E2407"/>
    <w:rsid w:val="000E44DE"/>
    <w:rsid w:val="000E4916"/>
    <w:rsid w:val="000E5B02"/>
    <w:rsid w:val="000E712C"/>
    <w:rsid w:val="000E7C83"/>
    <w:rsid w:val="000F0280"/>
    <w:rsid w:val="000F05F8"/>
    <w:rsid w:val="000F1B48"/>
    <w:rsid w:val="000F25D9"/>
    <w:rsid w:val="000F2BD9"/>
    <w:rsid w:val="000F33DE"/>
    <w:rsid w:val="000F62DB"/>
    <w:rsid w:val="000F768E"/>
    <w:rsid w:val="000F7CBE"/>
    <w:rsid w:val="00100B7D"/>
    <w:rsid w:val="00101F93"/>
    <w:rsid w:val="00102269"/>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1CE5"/>
    <w:rsid w:val="001425E9"/>
    <w:rsid w:val="0014383B"/>
    <w:rsid w:val="0014497D"/>
    <w:rsid w:val="00146274"/>
    <w:rsid w:val="001473E2"/>
    <w:rsid w:val="001504C1"/>
    <w:rsid w:val="00150688"/>
    <w:rsid w:val="00150DC8"/>
    <w:rsid w:val="00151FE5"/>
    <w:rsid w:val="00152200"/>
    <w:rsid w:val="00152F8D"/>
    <w:rsid w:val="00152FC9"/>
    <w:rsid w:val="0015397A"/>
    <w:rsid w:val="00156198"/>
    <w:rsid w:val="001573CA"/>
    <w:rsid w:val="00161118"/>
    <w:rsid w:val="00163A4A"/>
    <w:rsid w:val="0016475F"/>
    <w:rsid w:val="0016480A"/>
    <w:rsid w:val="00166954"/>
    <w:rsid w:val="0016743B"/>
    <w:rsid w:val="00170E0C"/>
    <w:rsid w:val="00171058"/>
    <w:rsid w:val="00171CD2"/>
    <w:rsid w:val="0017223A"/>
    <w:rsid w:val="001724D1"/>
    <w:rsid w:val="00172524"/>
    <w:rsid w:val="00172EAB"/>
    <w:rsid w:val="001731EA"/>
    <w:rsid w:val="00175E67"/>
    <w:rsid w:val="0018388D"/>
    <w:rsid w:val="00183EA0"/>
    <w:rsid w:val="00184D8A"/>
    <w:rsid w:val="00185229"/>
    <w:rsid w:val="001854EA"/>
    <w:rsid w:val="00185647"/>
    <w:rsid w:val="00186C35"/>
    <w:rsid w:val="00186C85"/>
    <w:rsid w:val="00186F85"/>
    <w:rsid w:val="00187739"/>
    <w:rsid w:val="0019227A"/>
    <w:rsid w:val="0019240D"/>
    <w:rsid w:val="00193060"/>
    <w:rsid w:val="0019381B"/>
    <w:rsid w:val="00194242"/>
    <w:rsid w:val="0019459A"/>
    <w:rsid w:val="00194BBF"/>
    <w:rsid w:val="001950B9"/>
    <w:rsid w:val="001962C4"/>
    <w:rsid w:val="001A0A3E"/>
    <w:rsid w:val="001A10E7"/>
    <w:rsid w:val="001A13C3"/>
    <w:rsid w:val="001A18D3"/>
    <w:rsid w:val="001A1DCB"/>
    <w:rsid w:val="001A2DD5"/>
    <w:rsid w:val="001A3F22"/>
    <w:rsid w:val="001A5609"/>
    <w:rsid w:val="001A567F"/>
    <w:rsid w:val="001A65F6"/>
    <w:rsid w:val="001A7CAF"/>
    <w:rsid w:val="001A7F9B"/>
    <w:rsid w:val="001B0382"/>
    <w:rsid w:val="001B043A"/>
    <w:rsid w:val="001B0DCD"/>
    <w:rsid w:val="001B109F"/>
    <w:rsid w:val="001B10F3"/>
    <w:rsid w:val="001B1459"/>
    <w:rsid w:val="001B29FA"/>
    <w:rsid w:val="001B3009"/>
    <w:rsid w:val="001B56AF"/>
    <w:rsid w:val="001B5DE1"/>
    <w:rsid w:val="001B6258"/>
    <w:rsid w:val="001B7CCC"/>
    <w:rsid w:val="001C08EB"/>
    <w:rsid w:val="001C2C00"/>
    <w:rsid w:val="001C4127"/>
    <w:rsid w:val="001D5FAE"/>
    <w:rsid w:val="001E00B0"/>
    <w:rsid w:val="001E0B9A"/>
    <w:rsid w:val="001E121E"/>
    <w:rsid w:val="001E1B95"/>
    <w:rsid w:val="001E2712"/>
    <w:rsid w:val="001E3481"/>
    <w:rsid w:val="001E5792"/>
    <w:rsid w:val="001E5CD5"/>
    <w:rsid w:val="001E6655"/>
    <w:rsid w:val="001E6A16"/>
    <w:rsid w:val="001F03B6"/>
    <w:rsid w:val="001F0B49"/>
    <w:rsid w:val="001F1232"/>
    <w:rsid w:val="001F150B"/>
    <w:rsid w:val="001F2421"/>
    <w:rsid w:val="001F251F"/>
    <w:rsid w:val="001F347A"/>
    <w:rsid w:val="001F4031"/>
    <w:rsid w:val="001F7D2D"/>
    <w:rsid w:val="00201368"/>
    <w:rsid w:val="00202B31"/>
    <w:rsid w:val="00204DF2"/>
    <w:rsid w:val="002061F5"/>
    <w:rsid w:val="00210B37"/>
    <w:rsid w:val="00210E0A"/>
    <w:rsid w:val="0021162B"/>
    <w:rsid w:val="0021246E"/>
    <w:rsid w:val="00212C2E"/>
    <w:rsid w:val="00212F3B"/>
    <w:rsid w:val="00213717"/>
    <w:rsid w:val="00214C4D"/>
    <w:rsid w:val="00216CDF"/>
    <w:rsid w:val="00217413"/>
    <w:rsid w:val="0022043E"/>
    <w:rsid w:val="0022087F"/>
    <w:rsid w:val="0022136A"/>
    <w:rsid w:val="00222D23"/>
    <w:rsid w:val="002247CD"/>
    <w:rsid w:val="002258A7"/>
    <w:rsid w:val="00226914"/>
    <w:rsid w:val="002275C0"/>
    <w:rsid w:val="00227E8C"/>
    <w:rsid w:val="00230E09"/>
    <w:rsid w:val="00230EBA"/>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6CA"/>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2711"/>
    <w:rsid w:val="00283385"/>
    <w:rsid w:val="00283856"/>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481"/>
    <w:rsid w:val="002A3BFD"/>
    <w:rsid w:val="002A3C7D"/>
    <w:rsid w:val="002A506B"/>
    <w:rsid w:val="002A5324"/>
    <w:rsid w:val="002A559A"/>
    <w:rsid w:val="002A799F"/>
    <w:rsid w:val="002A7E6F"/>
    <w:rsid w:val="002B036C"/>
    <w:rsid w:val="002B0D21"/>
    <w:rsid w:val="002B1A40"/>
    <w:rsid w:val="002B436B"/>
    <w:rsid w:val="002B4441"/>
    <w:rsid w:val="002B7E62"/>
    <w:rsid w:val="002C08BC"/>
    <w:rsid w:val="002C0BE4"/>
    <w:rsid w:val="002C2CAA"/>
    <w:rsid w:val="002C2ED9"/>
    <w:rsid w:val="002C49AA"/>
    <w:rsid w:val="002D13FD"/>
    <w:rsid w:val="002D2341"/>
    <w:rsid w:val="002D2741"/>
    <w:rsid w:val="002D4652"/>
    <w:rsid w:val="002D5220"/>
    <w:rsid w:val="002D62CA"/>
    <w:rsid w:val="002E02F0"/>
    <w:rsid w:val="002E0853"/>
    <w:rsid w:val="002E400E"/>
    <w:rsid w:val="002E5066"/>
    <w:rsid w:val="002E5CCC"/>
    <w:rsid w:val="002E6F4C"/>
    <w:rsid w:val="002F0516"/>
    <w:rsid w:val="002F0C9A"/>
    <w:rsid w:val="002F1946"/>
    <w:rsid w:val="002F42B9"/>
    <w:rsid w:val="002F4767"/>
    <w:rsid w:val="002F5670"/>
    <w:rsid w:val="002F5C92"/>
    <w:rsid w:val="002F60E7"/>
    <w:rsid w:val="002F6F54"/>
    <w:rsid w:val="00300B7C"/>
    <w:rsid w:val="00302EC7"/>
    <w:rsid w:val="0030419E"/>
    <w:rsid w:val="003049C9"/>
    <w:rsid w:val="00305BCA"/>
    <w:rsid w:val="00305EC8"/>
    <w:rsid w:val="00307219"/>
    <w:rsid w:val="00307A2D"/>
    <w:rsid w:val="00307F25"/>
    <w:rsid w:val="00310527"/>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93E"/>
    <w:rsid w:val="00322F5D"/>
    <w:rsid w:val="00323DE9"/>
    <w:rsid w:val="0032684E"/>
    <w:rsid w:val="00330717"/>
    <w:rsid w:val="0033087C"/>
    <w:rsid w:val="00330DA0"/>
    <w:rsid w:val="003314BD"/>
    <w:rsid w:val="0033229A"/>
    <w:rsid w:val="00332635"/>
    <w:rsid w:val="003339AF"/>
    <w:rsid w:val="00335820"/>
    <w:rsid w:val="00335B03"/>
    <w:rsid w:val="0033687C"/>
    <w:rsid w:val="00336F3F"/>
    <w:rsid w:val="00337E48"/>
    <w:rsid w:val="00340A77"/>
    <w:rsid w:val="003425CA"/>
    <w:rsid w:val="003430E4"/>
    <w:rsid w:val="00344ACF"/>
    <w:rsid w:val="00346A44"/>
    <w:rsid w:val="00346B6C"/>
    <w:rsid w:val="00347231"/>
    <w:rsid w:val="003508BE"/>
    <w:rsid w:val="00351820"/>
    <w:rsid w:val="003519C1"/>
    <w:rsid w:val="003536EF"/>
    <w:rsid w:val="0035620D"/>
    <w:rsid w:val="00360AA8"/>
    <w:rsid w:val="00360DE3"/>
    <w:rsid w:val="00364052"/>
    <w:rsid w:val="00364431"/>
    <w:rsid w:val="0036462B"/>
    <w:rsid w:val="00365504"/>
    <w:rsid w:val="0036565E"/>
    <w:rsid w:val="00365D57"/>
    <w:rsid w:val="0036611B"/>
    <w:rsid w:val="00366216"/>
    <w:rsid w:val="00367F0B"/>
    <w:rsid w:val="00371716"/>
    <w:rsid w:val="00372DFC"/>
    <w:rsid w:val="003735C4"/>
    <w:rsid w:val="003742F3"/>
    <w:rsid w:val="00375D5F"/>
    <w:rsid w:val="00376257"/>
    <w:rsid w:val="003770EB"/>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7871"/>
    <w:rsid w:val="003A7FD1"/>
    <w:rsid w:val="003B1DFD"/>
    <w:rsid w:val="003B22C4"/>
    <w:rsid w:val="003B2C0B"/>
    <w:rsid w:val="003B3227"/>
    <w:rsid w:val="003B3A3F"/>
    <w:rsid w:val="003B3ABE"/>
    <w:rsid w:val="003B5DC7"/>
    <w:rsid w:val="003B6A68"/>
    <w:rsid w:val="003B743D"/>
    <w:rsid w:val="003B76EE"/>
    <w:rsid w:val="003B773B"/>
    <w:rsid w:val="003C03D5"/>
    <w:rsid w:val="003C0CAC"/>
    <w:rsid w:val="003C1056"/>
    <w:rsid w:val="003C1AE2"/>
    <w:rsid w:val="003C284D"/>
    <w:rsid w:val="003C2E6A"/>
    <w:rsid w:val="003C4118"/>
    <w:rsid w:val="003C564A"/>
    <w:rsid w:val="003C5CB2"/>
    <w:rsid w:val="003D3B02"/>
    <w:rsid w:val="003D4532"/>
    <w:rsid w:val="003D5DF1"/>
    <w:rsid w:val="003D70B0"/>
    <w:rsid w:val="003D7895"/>
    <w:rsid w:val="003E5AC2"/>
    <w:rsid w:val="003E5D98"/>
    <w:rsid w:val="003E608D"/>
    <w:rsid w:val="003F0C98"/>
    <w:rsid w:val="003F16BB"/>
    <w:rsid w:val="003F32C8"/>
    <w:rsid w:val="003F42C3"/>
    <w:rsid w:val="003F49A0"/>
    <w:rsid w:val="003F53B8"/>
    <w:rsid w:val="003F5A92"/>
    <w:rsid w:val="003F5C8E"/>
    <w:rsid w:val="003F6ED8"/>
    <w:rsid w:val="003F7557"/>
    <w:rsid w:val="0040098D"/>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515"/>
    <w:rsid w:val="00440B4D"/>
    <w:rsid w:val="00442894"/>
    <w:rsid w:val="00442A32"/>
    <w:rsid w:val="004442B4"/>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2C4B"/>
    <w:rsid w:val="004861CB"/>
    <w:rsid w:val="00492C69"/>
    <w:rsid w:val="004953D3"/>
    <w:rsid w:val="00496BB8"/>
    <w:rsid w:val="004A09F4"/>
    <w:rsid w:val="004A0F8E"/>
    <w:rsid w:val="004A2D15"/>
    <w:rsid w:val="004A542F"/>
    <w:rsid w:val="004A7436"/>
    <w:rsid w:val="004A7ABE"/>
    <w:rsid w:val="004B0487"/>
    <w:rsid w:val="004B0D19"/>
    <w:rsid w:val="004B1971"/>
    <w:rsid w:val="004B29CD"/>
    <w:rsid w:val="004B29DA"/>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283"/>
    <w:rsid w:val="004D4E4E"/>
    <w:rsid w:val="004D5CD8"/>
    <w:rsid w:val="004D5CDD"/>
    <w:rsid w:val="004D60DB"/>
    <w:rsid w:val="004D63F1"/>
    <w:rsid w:val="004D6A6F"/>
    <w:rsid w:val="004D6C3C"/>
    <w:rsid w:val="004D7E6D"/>
    <w:rsid w:val="004E0AD1"/>
    <w:rsid w:val="004E0F3D"/>
    <w:rsid w:val="004E35C5"/>
    <w:rsid w:val="004E5AD9"/>
    <w:rsid w:val="004E6EAC"/>
    <w:rsid w:val="004F0A6C"/>
    <w:rsid w:val="004F1933"/>
    <w:rsid w:val="004F36D5"/>
    <w:rsid w:val="004F3C9B"/>
    <w:rsid w:val="004F3F26"/>
    <w:rsid w:val="004F43B4"/>
    <w:rsid w:val="004F4A15"/>
    <w:rsid w:val="004F5236"/>
    <w:rsid w:val="004F61BA"/>
    <w:rsid w:val="004F685F"/>
    <w:rsid w:val="004F6BE6"/>
    <w:rsid w:val="004F7BF2"/>
    <w:rsid w:val="004F7EE5"/>
    <w:rsid w:val="00500D4F"/>
    <w:rsid w:val="00502861"/>
    <w:rsid w:val="00505725"/>
    <w:rsid w:val="00506177"/>
    <w:rsid w:val="0050677F"/>
    <w:rsid w:val="00507662"/>
    <w:rsid w:val="0051064B"/>
    <w:rsid w:val="00510B39"/>
    <w:rsid w:val="005132F3"/>
    <w:rsid w:val="00513397"/>
    <w:rsid w:val="00513E16"/>
    <w:rsid w:val="00514B60"/>
    <w:rsid w:val="005201AB"/>
    <w:rsid w:val="005205DC"/>
    <w:rsid w:val="005210F5"/>
    <w:rsid w:val="00521171"/>
    <w:rsid w:val="00521858"/>
    <w:rsid w:val="00521ABF"/>
    <w:rsid w:val="005222D9"/>
    <w:rsid w:val="00525786"/>
    <w:rsid w:val="00526559"/>
    <w:rsid w:val="00527414"/>
    <w:rsid w:val="00527CD0"/>
    <w:rsid w:val="00530E96"/>
    <w:rsid w:val="00531D60"/>
    <w:rsid w:val="00533553"/>
    <w:rsid w:val="00535ADF"/>
    <w:rsid w:val="00537E1F"/>
    <w:rsid w:val="00540850"/>
    <w:rsid w:val="00542D83"/>
    <w:rsid w:val="005439F8"/>
    <w:rsid w:val="00543F27"/>
    <w:rsid w:val="00544E98"/>
    <w:rsid w:val="00545B8C"/>
    <w:rsid w:val="005470AF"/>
    <w:rsid w:val="00547536"/>
    <w:rsid w:val="00552163"/>
    <w:rsid w:val="005532A9"/>
    <w:rsid w:val="00554DE8"/>
    <w:rsid w:val="00556C08"/>
    <w:rsid w:val="00560B26"/>
    <w:rsid w:val="00562399"/>
    <w:rsid w:val="005629CC"/>
    <w:rsid w:val="00562A78"/>
    <w:rsid w:val="00566A5E"/>
    <w:rsid w:val="00567279"/>
    <w:rsid w:val="00567686"/>
    <w:rsid w:val="00567B4E"/>
    <w:rsid w:val="0057122D"/>
    <w:rsid w:val="00571AD9"/>
    <w:rsid w:val="0057303C"/>
    <w:rsid w:val="005744E1"/>
    <w:rsid w:val="0057627F"/>
    <w:rsid w:val="00577308"/>
    <w:rsid w:val="005825D8"/>
    <w:rsid w:val="005834FC"/>
    <w:rsid w:val="00584263"/>
    <w:rsid w:val="00585795"/>
    <w:rsid w:val="00586207"/>
    <w:rsid w:val="00593846"/>
    <w:rsid w:val="005951E1"/>
    <w:rsid w:val="00595CF5"/>
    <w:rsid w:val="00597643"/>
    <w:rsid w:val="005A16E6"/>
    <w:rsid w:val="005A20DE"/>
    <w:rsid w:val="005A287E"/>
    <w:rsid w:val="005A3E12"/>
    <w:rsid w:val="005A480B"/>
    <w:rsid w:val="005A5569"/>
    <w:rsid w:val="005A645A"/>
    <w:rsid w:val="005A789E"/>
    <w:rsid w:val="005B16C2"/>
    <w:rsid w:val="005B1BB2"/>
    <w:rsid w:val="005B21B9"/>
    <w:rsid w:val="005B257A"/>
    <w:rsid w:val="005B28F6"/>
    <w:rsid w:val="005B4A6A"/>
    <w:rsid w:val="005B4AF8"/>
    <w:rsid w:val="005B52B2"/>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2A18"/>
    <w:rsid w:val="00603218"/>
    <w:rsid w:val="006044F8"/>
    <w:rsid w:val="0060485F"/>
    <w:rsid w:val="0060493C"/>
    <w:rsid w:val="0060563F"/>
    <w:rsid w:val="00605B03"/>
    <w:rsid w:val="006112AF"/>
    <w:rsid w:val="0061277E"/>
    <w:rsid w:val="006145C3"/>
    <w:rsid w:val="006236C8"/>
    <w:rsid w:val="0062442B"/>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611"/>
    <w:rsid w:val="00654B2F"/>
    <w:rsid w:val="00657075"/>
    <w:rsid w:val="00660E9B"/>
    <w:rsid w:val="00661128"/>
    <w:rsid w:val="00663564"/>
    <w:rsid w:val="00664F73"/>
    <w:rsid w:val="006661EF"/>
    <w:rsid w:val="00666D38"/>
    <w:rsid w:val="00667346"/>
    <w:rsid w:val="006673E0"/>
    <w:rsid w:val="00671E7C"/>
    <w:rsid w:val="006720D0"/>
    <w:rsid w:val="00674076"/>
    <w:rsid w:val="0067618F"/>
    <w:rsid w:val="00677D1D"/>
    <w:rsid w:val="00680442"/>
    <w:rsid w:val="00681F0D"/>
    <w:rsid w:val="006823F1"/>
    <w:rsid w:val="0068286C"/>
    <w:rsid w:val="00683675"/>
    <w:rsid w:val="00683694"/>
    <w:rsid w:val="00683919"/>
    <w:rsid w:val="006839D1"/>
    <w:rsid w:val="00684947"/>
    <w:rsid w:val="00685801"/>
    <w:rsid w:val="00687CAF"/>
    <w:rsid w:val="00691E11"/>
    <w:rsid w:val="006927FF"/>
    <w:rsid w:val="006948B0"/>
    <w:rsid w:val="006968E9"/>
    <w:rsid w:val="006972A1"/>
    <w:rsid w:val="0069793A"/>
    <w:rsid w:val="00697BE8"/>
    <w:rsid w:val="006A2580"/>
    <w:rsid w:val="006A2EF1"/>
    <w:rsid w:val="006A4C45"/>
    <w:rsid w:val="006A529A"/>
    <w:rsid w:val="006A5345"/>
    <w:rsid w:val="006A56D9"/>
    <w:rsid w:val="006A603A"/>
    <w:rsid w:val="006A6287"/>
    <w:rsid w:val="006B0D76"/>
    <w:rsid w:val="006B1072"/>
    <w:rsid w:val="006B1F5A"/>
    <w:rsid w:val="006B3CB7"/>
    <w:rsid w:val="006B4BEC"/>
    <w:rsid w:val="006B4DD7"/>
    <w:rsid w:val="006B7BA6"/>
    <w:rsid w:val="006C1171"/>
    <w:rsid w:val="006C1FEF"/>
    <w:rsid w:val="006C26BA"/>
    <w:rsid w:val="006C3753"/>
    <w:rsid w:val="006C461B"/>
    <w:rsid w:val="006C5263"/>
    <w:rsid w:val="006C62E2"/>
    <w:rsid w:val="006C6E6A"/>
    <w:rsid w:val="006C7E50"/>
    <w:rsid w:val="006D0052"/>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1C06"/>
    <w:rsid w:val="00703153"/>
    <w:rsid w:val="00703E78"/>
    <w:rsid w:val="007045C8"/>
    <w:rsid w:val="00704FB5"/>
    <w:rsid w:val="00706F49"/>
    <w:rsid w:val="00712B3B"/>
    <w:rsid w:val="007168FB"/>
    <w:rsid w:val="00716D1C"/>
    <w:rsid w:val="0071712A"/>
    <w:rsid w:val="007200AE"/>
    <w:rsid w:val="00720E61"/>
    <w:rsid w:val="0072252B"/>
    <w:rsid w:val="00723408"/>
    <w:rsid w:val="00724E47"/>
    <w:rsid w:val="0072526F"/>
    <w:rsid w:val="00727855"/>
    <w:rsid w:val="00727A9A"/>
    <w:rsid w:val="00727E1F"/>
    <w:rsid w:val="00732D9C"/>
    <w:rsid w:val="00733C12"/>
    <w:rsid w:val="00733DA5"/>
    <w:rsid w:val="0073401F"/>
    <w:rsid w:val="00734073"/>
    <w:rsid w:val="00734DD2"/>
    <w:rsid w:val="007355E6"/>
    <w:rsid w:val="00737686"/>
    <w:rsid w:val="00737C18"/>
    <w:rsid w:val="0074025E"/>
    <w:rsid w:val="007418BD"/>
    <w:rsid w:val="00742514"/>
    <w:rsid w:val="00742AEB"/>
    <w:rsid w:val="007432C6"/>
    <w:rsid w:val="007458EF"/>
    <w:rsid w:val="00747D69"/>
    <w:rsid w:val="00750B5F"/>
    <w:rsid w:val="00750E8C"/>
    <w:rsid w:val="00750EFA"/>
    <w:rsid w:val="007515B1"/>
    <w:rsid w:val="0075332C"/>
    <w:rsid w:val="007544AF"/>
    <w:rsid w:val="0076083F"/>
    <w:rsid w:val="0076153B"/>
    <w:rsid w:val="00762C1D"/>
    <w:rsid w:val="00762F86"/>
    <w:rsid w:val="00763173"/>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166B"/>
    <w:rsid w:val="007940AE"/>
    <w:rsid w:val="00794134"/>
    <w:rsid w:val="007946B7"/>
    <w:rsid w:val="00794A90"/>
    <w:rsid w:val="0079514E"/>
    <w:rsid w:val="007A1FB6"/>
    <w:rsid w:val="007A2339"/>
    <w:rsid w:val="007A2971"/>
    <w:rsid w:val="007A4231"/>
    <w:rsid w:val="007A4FC4"/>
    <w:rsid w:val="007A54B9"/>
    <w:rsid w:val="007A5F13"/>
    <w:rsid w:val="007A6B6A"/>
    <w:rsid w:val="007B2F15"/>
    <w:rsid w:val="007B3183"/>
    <w:rsid w:val="007B385E"/>
    <w:rsid w:val="007B469F"/>
    <w:rsid w:val="007C0FE9"/>
    <w:rsid w:val="007C1670"/>
    <w:rsid w:val="007C2030"/>
    <w:rsid w:val="007C2BFA"/>
    <w:rsid w:val="007C2E34"/>
    <w:rsid w:val="007C3099"/>
    <w:rsid w:val="007C3880"/>
    <w:rsid w:val="007C3E08"/>
    <w:rsid w:val="007C542F"/>
    <w:rsid w:val="007C57F8"/>
    <w:rsid w:val="007C7388"/>
    <w:rsid w:val="007D3848"/>
    <w:rsid w:val="007D4291"/>
    <w:rsid w:val="007D4A86"/>
    <w:rsid w:val="007D54CE"/>
    <w:rsid w:val="007D56E1"/>
    <w:rsid w:val="007D595B"/>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E4"/>
    <w:rsid w:val="008059F3"/>
    <w:rsid w:val="00806C32"/>
    <w:rsid w:val="008074C0"/>
    <w:rsid w:val="0081067A"/>
    <w:rsid w:val="008107B3"/>
    <w:rsid w:val="00810BDE"/>
    <w:rsid w:val="00811627"/>
    <w:rsid w:val="00814C35"/>
    <w:rsid w:val="00815465"/>
    <w:rsid w:val="008164D3"/>
    <w:rsid w:val="008209E5"/>
    <w:rsid w:val="00820CF0"/>
    <w:rsid w:val="00820EB9"/>
    <w:rsid w:val="00821EAA"/>
    <w:rsid w:val="00825B3E"/>
    <w:rsid w:val="0082663A"/>
    <w:rsid w:val="008323CF"/>
    <w:rsid w:val="00832F69"/>
    <w:rsid w:val="008339E5"/>
    <w:rsid w:val="00833E6C"/>
    <w:rsid w:val="008341E7"/>
    <w:rsid w:val="00836167"/>
    <w:rsid w:val="0083749F"/>
    <w:rsid w:val="00840005"/>
    <w:rsid w:val="008413FB"/>
    <w:rsid w:val="0084159B"/>
    <w:rsid w:val="008433CA"/>
    <w:rsid w:val="00843AEC"/>
    <w:rsid w:val="00844964"/>
    <w:rsid w:val="00846772"/>
    <w:rsid w:val="00846EE1"/>
    <w:rsid w:val="00847E12"/>
    <w:rsid w:val="0085113A"/>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0B0"/>
    <w:rsid w:val="00881463"/>
    <w:rsid w:val="00883877"/>
    <w:rsid w:val="0088761E"/>
    <w:rsid w:val="00891656"/>
    <w:rsid w:val="00891B0B"/>
    <w:rsid w:val="00891BBF"/>
    <w:rsid w:val="00892C86"/>
    <w:rsid w:val="00893B8A"/>
    <w:rsid w:val="008971BB"/>
    <w:rsid w:val="008A02DB"/>
    <w:rsid w:val="008A235E"/>
    <w:rsid w:val="008A2CA4"/>
    <w:rsid w:val="008A31A1"/>
    <w:rsid w:val="008A325B"/>
    <w:rsid w:val="008A33DD"/>
    <w:rsid w:val="008A3967"/>
    <w:rsid w:val="008A7DB9"/>
    <w:rsid w:val="008B00B3"/>
    <w:rsid w:val="008B4194"/>
    <w:rsid w:val="008B4D7B"/>
    <w:rsid w:val="008B6402"/>
    <w:rsid w:val="008B70BF"/>
    <w:rsid w:val="008C0096"/>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1417"/>
    <w:rsid w:val="0090217F"/>
    <w:rsid w:val="00902DBD"/>
    <w:rsid w:val="009061B9"/>
    <w:rsid w:val="00910F11"/>
    <w:rsid w:val="00911F63"/>
    <w:rsid w:val="00912742"/>
    <w:rsid w:val="009141FF"/>
    <w:rsid w:val="009162AC"/>
    <w:rsid w:val="009162C7"/>
    <w:rsid w:val="009166C2"/>
    <w:rsid w:val="009173E0"/>
    <w:rsid w:val="00917452"/>
    <w:rsid w:val="00917692"/>
    <w:rsid w:val="009209DA"/>
    <w:rsid w:val="0092145E"/>
    <w:rsid w:val="00921BC0"/>
    <w:rsid w:val="00923455"/>
    <w:rsid w:val="00925422"/>
    <w:rsid w:val="0092573F"/>
    <w:rsid w:val="009277AD"/>
    <w:rsid w:val="00931580"/>
    <w:rsid w:val="009346B1"/>
    <w:rsid w:val="00935596"/>
    <w:rsid w:val="009371DF"/>
    <w:rsid w:val="00937400"/>
    <w:rsid w:val="00941577"/>
    <w:rsid w:val="00941E55"/>
    <w:rsid w:val="00942B33"/>
    <w:rsid w:val="00943CC6"/>
    <w:rsid w:val="00944425"/>
    <w:rsid w:val="009454B0"/>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61CA"/>
    <w:rsid w:val="00986A83"/>
    <w:rsid w:val="00987F20"/>
    <w:rsid w:val="009901B9"/>
    <w:rsid w:val="00993147"/>
    <w:rsid w:val="0099330A"/>
    <w:rsid w:val="0099391B"/>
    <w:rsid w:val="009944EF"/>
    <w:rsid w:val="009A1033"/>
    <w:rsid w:val="009A25EC"/>
    <w:rsid w:val="009A2B42"/>
    <w:rsid w:val="009A4C52"/>
    <w:rsid w:val="009A6170"/>
    <w:rsid w:val="009A6E66"/>
    <w:rsid w:val="009B2192"/>
    <w:rsid w:val="009B5375"/>
    <w:rsid w:val="009B5853"/>
    <w:rsid w:val="009B5B1B"/>
    <w:rsid w:val="009B6551"/>
    <w:rsid w:val="009C0190"/>
    <w:rsid w:val="009C0210"/>
    <w:rsid w:val="009C1504"/>
    <w:rsid w:val="009C2E7A"/>
    <w:rsid w:val="009C3055"/>
    <w:rsid w:val="009C4645"/>
    <w:rsid w:val="009D2872"/>
    <w:rsid w:val="009D3524"/>
    <w:rsid w:val="009D3821"/>
    <w:rsid w:val="009D3E5A"/>
    <w:rsid w:val="009D62FC"/>
    <w:rsid w:val="009D7AC1"/>
    <w:rsid w:val="009E1306"/>
    <w:rsid w:val="009E14D4"/>
    <w:rsid w:val="009E25BC"/>
    <w:rsid w:val="009E3B54"/>
    <w:rsid w:val="009E4417"/>
    <w:rsid w:val="009E7D15"/>
    <w:rsid w:val="009E7F43"/>
    <w:rsid w:val="009F179B"/>
    <w:rsid w:val="009F28CF"/>
    <w:rsid w:val="009F4D37"/>
    <w:rsid w:val="009F4DEF"/>
    <w:rsid w:val="009F5F99"/>
    <w:rsid w:val="009F5FFD"/>
    <w:rsid w:val="009F65BD"/>
    <w:rsid w:val="009F6BD8"/>
    <w:rsid w:val="00A02E50"/>
    <w:rsid w:val="00A06FA1"/>
    <w:rsid w:val="00A07F81"/>
    <w:rsid w:val="00A10458"/>
    <w:rsid w:val="00A11AFE"/>
    <w:rsid w:val="00A120F5"/>
    <w:rsid w:val="00A1357F"/>
    <w:rsid w:val="00A14B5D"/>
    <w:rsid w:val="00A156C9"/>
    <w:rsid w:val="00A1580D"/>
    <w:rsid w:val="00A16286"/>
    <w:rsid w:val="00A17152"/>
    <w:rsid w:val="00A20FA9"/>
    <w:rsid w:val="00A21110"/>
    <w:rsid w:val="00A21B43"/>
    <w:rsid w:val="00A23ED9"/>
    <w:rsid w:val="00A2486B"/>
    <w:rsid w:val="00A30D92"/>
    <w:rsid w:val="00A3142F"/>
    <w:rsid w:val="00A315D5"/>
    <w:rsid w:val="00A3372E"/>
    <w:rsid w:val="00A3453E"/>
    <w:rsid w:val="00A35A9F"/>
    <w:rsid w:val="00A3643D"/>
    <w:rsid w:val="00A36DAE"/>
    <w:rsid w:val="00A400C1"/>
    <w:rsid w:val="00A40452"/>
    <w:rsid w:val="00A42151"/>
    <w:rsid w:val="00A43D30"/>
    <w:rsid w:val="00A442AE"/>
    <w:rsid w:val="00A44FA3"/>
    <w:rsid w:val="00A46962"/>
    <w:rsid w:val="00A47FBA"/>
    <w:rsid w:val="00A50669"/>
    <w:rsid w:val="00A50A94"/>
    <w:rsid w:val="00A55419"/>
    <w:rsid w:val="00A56BAD"/>
    <w:rsid w:val="00A57362"/>
    <w:rsid w:val="00A57EA9"/>
    <w:rsid w:val="00A64280"/>
    <w:rsid w:val="00A652DD"/>
    <w:rsid w:val="00A65DB4"/>
    <w:rsid w:val="00A66DC0"/>
    <w:rsid w:val="00A708B6"/>
    <w:rsid w:val="00A726A0"/>
    <w:rsid w:val="00A753EB"/>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4EA"/>
    <w:rsid w:val="00A96517"/>
    <w:rsid w:val="00A97C56"/>
    <w:rsid w:val="00AA00A8"/>
    <w:rsid w:val="00AA12F6"/>
    <w:rsid w:val="00AA1C42"/>
    <w:rsid w:val="00AA36D5"/>
    <w:rsid w:val="00AA6A2A"/>
    <w:rsid w:val="00AA6A40"/>
    <w:rsid w:val="00AA7349"/>
    <w:rsid w:val="00AB0BA9"/>
    <w:rsid w:val="00AB10BE"/>
    <w:rsid w:val="00AB1119"/>
    <w:rsid w:val="00AB24C9"/>
    <w:rsid w:val="00AB482A"/>
    <w:rsid w:val="00AB4A29"/>
    <w:rsid w:val="00AB5E55"/>
    <w:rsid w:val="00AB62FA"/>
    <w:rsid w:val="00AB78A8"/>
    <w:rsid w:val="00AC18B3"/>
    <w:rsid w:val="00AC1FB1"/>
    <w:rsid w:val="00AC2280"/>
    <w:rsid w:val="00AC3509"/>
    <w:rsid w:val="00AC36A6"/>
    <w:rsid w:val="00AC3F70"/>
    <w:rsid w:val="00AC40D1"/>
    <w:rsid w:val="00AC48D2"/>
    <w:rsid w:val="00AC4B18"/>
    <w:rsid w:val="00AC56A8"/>
    <w:rsid w:val="00AC7E4B"/>
    <w:rsid w:val="00AD11A3"/>
    <w:rsid w:val="00AD11EF"/>
    <w:rsid w:val="00AD151C"/>
    <w:rsid w:val="00AD1937"/>
    <w:rsid w:val="00AD2284"/>
    <w:rsid w:val="00AD2615"/>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052C"/>
    <w:rsid w:val="00B11045"/>
    <w:rsid w:val="00B155F2"/>
    <w:rsid w:val="00B16785"/>
    <w:rsid w:val="00B16C68"/>
    <w:rsid w:val="00B17864"/>
    <w:rsid w:val="00B17ACA"/>
    <w:rsid w:val="00B20A5F"/>
    <w:rsid w:val="00B225F6"/>
    <w:rsid w:val="00B2400B"/>
    <w:rsid w:val="00B255EE"/>
    <w:rsid w:val="00B25617"/>
    <w:rsid w:val="00B2638E"/>
    <w:rsid w:val="00B267E7"/>
    <w:rsid w:val="00B272F8"/>
    <w:rsid w:val="00B278D8"/>
    <w:rsid w:val="00B3052A"/>
    <w:rsid w:val="00B31E28"/>
    <w:rsid w:val="00B359A9"/>
    <w:rsid w:val="00B3616F"/>
    <w:rsid w:val="00B36658"/>
    <w:rsid w:val="00B36C03"/>
    <w:rsid w:val="00B43234"/>
    <w:rsid w:val="00B43CD5"/>
    <w:rsid w:val="00B466F0"/>
    <w:rsid w:val="00B46743"/>
    <w:rsid w:val="00B46856"/>
    <w:rsid w:val="00B47056"/>
    <w:rsid w:val="00B47227"/>
    <w:rsid w:val="00B506AC"/>
    <w:rsid w:val="00B5119F"/>
    <w:rsid w:val="00B51B84"/>
    <w:rsid w:val="00B52425"/>
    <w:rsid w:val="00B52A3F"/>
    <w:rsid w:val="00B53276"/>
    <w:rsid w:val="00B53FFF"/>
    <w:rsid w:val="00B5403C"/>
    <w:rsid w:val="00B56D34"/>
    <w:rsid w:val="00B57127"/>
    <w:rsid w:val="00B609B5"/>
    <w:rsid w:val="00B61BB8"/>
    <w:rsid w:val="00B634C5"/>
    <w:rsid w:val="00B64FDA"/>
    <w:rsid w:val="00B65B8F"/>
    <w:rsid w:val="00B66714"/>
    <w:rsid w:val="00B70477"/>
    <w:rsid w:val="00B71EA5"/>
    <w:rsid w:val="00B72BC4"/>
    <w:rsid w:val="00B734CD"/>
    <w:rsid w:val="00B740AF"/>
    <w:rsid w:val="00B75959"/>
    <w:rsid w:val="00B7610E"/>
    <w:rsid w:val="00B76EB5"/>
    <w:rsid w:val="00B7708A"/>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C21"/>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5FF3"/>
    <w:rsid w:val="00BC72D9"/>
    <w:rsid w:val="00BC7618"/>
    <w:rsid w:val="00BD1076"/>
    <w:rsid w:val="00BD4172"/>
    <w:rsid w:val="00BD6603"/>
    <w:rsid w:val="00BD66D3"/>
    <w:rsid w:val="00BE01C6"/>
    <w:rsid w:val="00BE0641"/>
    <w:rsid w:val="00BE1003"/>
    <w:rsid w:val="00BE1611"/>
    <w:rsid w:val="00BE2A81"/>
    <w:rsid w:val="00BE2C3A"/>
    <w:rsid w:val="00BE3795"/>
    <w:rsid w:val="00BE3B17"/>
    <w:rsid w:val="00BE57A5"/>
    <w:rsid w:val="00BE6112"/>
    <w:rsid w:val="00BE6928"/>
    <w:rsid w:val="00BE6990"/>
    <w:rsid w:val="00BE7493"/>
    <w:rsid w:val="00BF1257"/>
    <w:rsid w:val="00BF2566"/>
    <w:rsid w:val="00BF2849"/>
    <w:rsid w:val="00BF2D82"/>
    <w:rsid w:val="00BF478D"/>
    <w:rsid w:val="00BF59E9"/>
    <w:rsid w:val="00BF5B07"/>
    <w:rsid w:val="00BF5FC6"/>
    <w:rsid w:val="00BF6528"/>
    <w:rsid w:val="00BF68FA"/>
    <w:rsid w:val="00BF76FF"/>
    <w:rsid w:val="00BF77CF"/>
    <w:rsid w:val="00C0011C"/>
    <w:rsid w:val="00C0222C"/>
    <w:rsid w:val="00C02CAC"/>
    <w:rsid w:val="00C02DAF"/>
    <w:rsid w:val="00C047AC"/>
    <w:rsid w:val="00C05643"/>
    <w:rsid w:val="00C06465"/>
    <w:rsid w:val="00C10364"/>
    <w:rsid w:val="00C11F85"/>
    <w:rsid w:val="00C120A2"/>
    <w:rsid w:val="00C1243E"/>
    <w:rsid w:val="00C152FC"/>
    <w:rsid w:val="00C16E81"/>
    <w:rsid w:val="00C171AE"/>
    <w:rsid w:val="00C206CC"/>
    <w:rsid w:val="00C21AD1"/>
    <w:rsid w:val="00C2267F"/>
    <w:rsid w:val="00C2436D"/>
    <w:rsid w:val="00C244CA"/>
    <w:rsid w:val="00C24D09"/>
    <w:rsid w:val="00C27D45"/>
    <w:rsid w:val="00C31538"/>
    <w:rsid w:val="00C333B6"/>
    <w:rsid w:val="00C3745C"/>
    <w:rsid w:val="00C376B3"/>
    <w:rsid w:val="00C37803"/>
    <w:rsid w:val="00C428E7"/>
    <w:rsid w:val="00C434B4"/>
    <w:rsid w:val="00C4456F"/>
    <w:rsid w:val="00C450C1"/>
    <w:rsid w:val="00C45ECD"/>
    <w:rsid w:val="00C47E62"/>
    <w:rsid w:val="00C50979"/>
    <w:rsid w:val="00C526F7"/>
    <w:rsid w:val="00C528FF"/>
    <w:rsid w:val="00C53B32"/>
    <w:rsid w:val="00C53F04"/>
    <w:rsid w:val="00C54B9C"/>
    <w:rsid w:val="00C54D7D"/>
    <w:rsid w:val="00C55325"/>
    <w:rsid w:val="00C569A0"/>
    <w:rsid w:val="00C62269"/>
    <w:rsid w:val="00C630CD"/>
    <w:rsid w:val="00C63499"/>
    <w:rsid w:val="00C6460A"/>
    <w:rsid w:val="00C6562B"/>
    <w:rsid w:val="00C6593B"/>
    <w:rsid w:val="00C66E94"/>
    <w:rsid w:val="00C66FDB"/>
    <w:rsid w:val="00C70921"/>
    <w:rsid w:val="00C711CF"/>
    <w:rsid w:val="00C71725"/>
    <w:rsid w:val="00C727A4"/>
    <w:rsid w:val="00C7360A"/>
    <w:rsid w:val="00C73E1D"/>
    <w:rsid w:val="00C75115"/>
    <w:rsid w:val="00C75484"/>
    <w:rsid w:val="00C75AE6"/>
    <w:rsid w:val="00C75E0A"/>
    <w:rsid w:val="00C76C32"/>
    <w:rsid w:val="00C80444"/>
    <w:rsid w:val="00C81FDE"/>
    <w:rsid w:val="00C82148"/>
    <w:rsid w:val="00C8227D"/>
    <w:rsid w:val="00C831C2"/>
    <w:rsid w:val="00C83B5C"/>
    <w:rsid w:val="00C84365"/>
    <w:rsid w:val="00C850FF"/>
    <w:rsid w:val="00C86E06"/>
    <w:rsid w:val="00C90478"/>
    <w:rsid w:val="00C92EA3"/>
    <w:rsid w:val="00C943BC"/>
    <w:rsid w:val="00C959DC"/>
    <w:rsid w:val="00C96F06"/>
    <w:rsid w:val="00C97E0B"/>
    <w:rsid w:val="00CA07DA"/>
    <w:rsid w:val="00CA097E"/>
    <w:rsid w:val="00CA113D"/>
    <w:rsid w:val="00CA127C"/>
    <w:rsid w:val="00CA15A8"/>
    <w:rsid w:val="00CA16DC"/>
    <w:rsid w:val="00CA1EF8"/>
    <w:rsid w:val="00CA2FEF"/>
    <w:rsid w:val="00CA39D4"/>
    <w:rsid w:val="00CA4A68"/>
    <w:rsid w:val="00CA6466"/>
    <w:rsid w:val="00CA74FE"/>
    <w:rsid w:val="00CA786A"/>
    <w:rsid w:val="00CB148A"/>
    <w:rsid w:val="00CB2D31"/>
    <w:rsid w:val="00CB328F"/>
    <w:rsid w:val="00CB43BB"/>
    <w:rsid w:val="00CB7D4E"/>
    <w:rsid w:val="00CC1D4F"/>
    <w:rsid w:val="00CC1EFE"/>
    <w:rsid w:val="00CC3AF1"/>
    <w:rsid w:val="00CC3E1C"/>
    <w:rsid w:val="00CC40D5"/>
    <w:rsid w:val="00CC461D"/>
    <w:rsid w:val="00CC4BB1"/>
    <w:rsid w:val="00CC5125"/>
    <w:rsid w:val="00CC5D0E"/>
    <w:rsid w:val="00CC7E89"/>
    <w:rsid w:val="00CD56B7"/>
    <w:rsid w:val="00CD6581"/>
    <w:rsid w:val="00CD72BE"/>
    <w:rsid w:val="00CD7772"/>
    <w:rsid w:val="00CE06E2"/>
    <w:rsid w:val="00CE2C25"/>
    <w:rsid w:val="00CE318B"/>
    <w:rsid w:val="00CE3411"/>
    <w:rsid w:val="00CE3E6A"/>
    <w:rsid w:val="00CE5256"/>
    <w:rsid w:val="00CE6118"/>
    <w:rsid w:val="00CE7004"/>
    <w:rsid w:val="00CF05E2"/>
    <w:rsid w:val="00CF1294"/>
    <w:rsid w:val="00CF2B9F"/>
    <w:rsid w:val="00CF2D68"/>
    <w:rsid w:val="00CF4192"/>
    <w:rsid w:val="00CF4C4D"/>
    <w:rsid w:val="00CF60FC"/>
    <w:rsid w:val="00CF790C"/>
    <w:rsid w:val="00CF7D4A"/>
    <w:rsid w:val="00D008FE"/>
    <w:rsid w:val="00D014BE"/>
    <w:rsid w:val="00D02870"/>
    <w:rsid w:val="00D03444"/>
    <w:rsid w:val="00D03821"/>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696C"/>
    <w:rsid w:val="00D2728F"/>
    <w:rsid w:val="00D3180B"/>
    <w:rsid w:val="00D32290"/>
    <w:rsid w:val="00D33973"/>
    <w:rsid w:val="00D34343"/>
    <w:rsid w:val="00D343A4"/>
    <w:rsid w:val="00D3461A"/>
    <w:rsid w:val="00D34E67"/>
    <w:rsid w:val="00D34E98"/>
    <w:rsid w:val="00D4026E"/>
    <w:rsid w:val="00D420C4"/>
    <w:rsid w:val="00D42AB1"/>
    <w:rsid w:val="00D449D4"/>
    <w:rsid w:val="00D45027"/>
    <w:rsid w:val="00D472E0"/>
    <w:rsid w:val="00D479E7"/>
    <w:rsid w:val="00D5058A"/>
    <w:rsid w:val="00D50635"/>
    <w:rsid w:val="00D538E6"/>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3A40"/>
    <w:rsid w:val="00D75A10"/>
    <w:rsid w:val="00D75D91"/>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746"/>
    <w:rsid w:val="00D93934"/>
    <w:rsid w:val="00D945EF"/>
    <w:rsid w:val="00D94B6C"/>
    <w:rsid w:val="00D95CBD"/>
    <w:rsid w:val="00D97982"/>
    <w:rsid w:val="00DA0226"/>
    <w:rsid w:val="00DA049B"/>
    <w:rsid w:val="00DA0BE7"/>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2337"/>
    <w:rsid w:val="00DD2711"/>
    <w:rsid w:val="00DD41D2"/>
    <w:rsid w:val="00DD491B"/>
    <w:rsid w:val="00DD5316"/>
    <w:rsid w:val="00DD5970"/>
    <w:rsid w:val="00DD6062"/>
    <w:rsid w:val="00DE0B99"/>
    <w:rsid w:val="00DE21A4"/>
    <w:rsid w:val="00DE2E73"/>
    <w:rsid w:val="00DE374C"/>
    <w:rsid w:val="00DE43C1"/>
    <w:rsid w:val="00DE4F7E"/>
    <w:rsid w:val="00DE4F8C"/>
    <w:rsid w:val="00DE55D7"/>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3F15"/>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228"/>
    <w:rsid w:val="00E30D41"/>
    <w:rsid w:val="00E30E22"/>
    <w:rsid w:val="00E314BC"/>
    <w:rsid w:val="00E31F04"/>
    <w:rsid w:val="00E3230E"/>
    <w:rsid w:val="00E33201"/>
    <w:rsid w:val="00E336B9"/>
    <w:rsid w:val="00E33E93"/>
    <w:rsid w:val="00E34382"/>
    <w:rsid w:val="00E355A6"/>
    <w:rsid w:val="00E36E33"/>
    <w:rsid w:val="00E371B8"/>
    <w:rsid w:val="00E3766E"/>
    <w:rsid w:val="00E417B3"/>
    <w:rsid w:val="00E43C94"/>
    <w:rsid w:val="00E43E46"/>
    <w:rsid w:val="00E444CC"/>
    <w:rsid w:val="00E44848"/>
    <w:rsid w:val="00E4567D"/>
    <w:rsid w:val="00E540BD"/>
    <w:rsid w:val="00E54130"/>
    <w:rsid w:val="00E603F4"/>
    <w:rsid w:val="00E6193A"/>
    <w:rsid w:val="00E61F24"/>
    <w:rsid w:val="00E63226"/>
    <w:rsid w:val="00E63789"/>
    <w:rsid w:val="00E6437F"/>
    <w:rsid w:val="00E64D09"/>
    <w:rsid w:val="00E659D5"/>
    <w:rsid w:val="00E67AD4"/>
    <w:rsid w:val="00E71DEF"/>
    <w:rsid w:val="00E724DF"/>
    <w:rsid w:val="00E72B8E"/>
    <w:rsid w:val="00E73A01"/>
    <w:rsid w:val="00E77315"/>
    <w:rsid w:val="00E7752C"/>
    <w:rsid w:val="00E805D7"/>
    <w:rsid w:val="00E82236"/>
    <w:rsid w:val="00E84936"/>
    <w:rsid w:val="00E86492"/>
    <w:rsid w:val="00E871E3"/>
    <w:rsid w:val="00E91CBD"/>
    <w:rsid w:val="00E92AE5"/>
    <w:rsid w:val="00E93D8C"/>
    <w:rsid w:val="00E94811"/>
    <w:rsid w:val="00E974B9"/>
    <w:rsid w:val="00E97B1C"/>
    <w:rsid w:val="00EA0B8F"/>
    <w:rsid w:val="00EA0DD7"/>
    <w:rsid w:val="00EA0EA6"/>
    <w:rsid w:val="00EA1A76"/>
    <w:rsid w:val="00EA2156"/>
    <w:rsid w:val="00EA2ABB"/>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6A59"/>
    <w:rsid w:val="00ED72C9"/>
    <w:rsid w:val="00ED7A15"/>
    <w:rsid w:val="00EE1261"/>
    <w:rsid w:val="00EE1A07"/>
    <w:rsid w:val="00EE1AD4"/>
    <w:rsid w:val="00EE1D54"/>
    <w:rsid w:val="00EE394B"/>
    <w:rsid w:val="00EE3A49"/>
    <w:rsid w:val="00EE3FE7"/>
    <w:rsid w:val="00EE428F"/>
    <w:rsid w:val="00EE4A6B"/>
    <w:rsid w:val="00EE55FB"/>
    <w:rsid w:val="00EE5707"/>
    <w:rsid w:val="00EE78A9"/>
    <w:rsid w:val="00EE7AA6"/>
    <w:rsid w:val="00EF0095"/>
    <w:rsid w:val="00EF1DE5"/>
    <w:rsid w:val="00EF4D78"/>
    <w:rsid w:val="00EF5514"/>
    <w:rsid w:val="00EF5C7D"/>
    <w:rsid w:val="00EF7F71"/>
    <w:rsid w:val="00F00774"/>
    <w:rsid w:val="00F018A3"/>
    <w:rsid w:val="00F019D8"/>
    <w:rsid w:val="00F03CA9"/>
    <w:rsid w:val="00F04B32"/>
    <w:rsid w:val="00F05A79"/>
    <w:rsid w:val="00F10420"/>
    <w:rsid w:val="00F10BEC"/>
    <w:rsid w:val="00F11320"/>
    <w:rsid w:val="00F1150D"/>
    <w:rsid w:val="00F1179C"/>
    <w:rsid w:val="00F1195E"/>
    <w:rsid w:val="00F1311A"/>
    <w:rsid w:val="00F131D0"/>
    <w:rsid w:val="00F1509F"/>
    <w:rsid w:val="00F1704D"/>
    <w:rsid w:val="00F20800"/>
    <w:rsid w:val="00F23DC1"/>
    <w:rsid w:val="00F25AF3"/>
    <w:rsid w:val="00F25C32"/>
    <w:rsid w:val="00F26480"/>
    <w:rsid w:val="00F2665E"/>
    <w:rsid w:val="00F272A5"/>
    <w:rsid w:val="00F30926"/>
    <w:rsid w:val="00F3348B"/>
    <w:rsid w:val="00F3446A"/>
    <w:rsid w:val="00F36448"/>
    <w:rsid w:val="00F40020"/>
    <w:rsid w:val="00F400FE"/>
    <w:rsid w:val="00F41545"/>
    <w:rsid w:val="00F41CEC"/>
    <w:rsid w:val="00F41E75"/>
    <w:rsid w:val="00F42523"/>
    <w:rsid w:val="00F42D97"/>
    <w:rsid w:val="00F4306A"/>
    <w:rsid w:val="00F43D23"/>
    <w:rsid w:val="00F45196"/>
    <w:rsid w:val="00F4776A"/>
    <w:rsid w:val="00F47DC7"/>
    <w:rsid w:val="00F52E7C"/>
    <w:rsid w:val="00F52FC8"/>
    <w:rsid w:val="00F53142"/>
    <w:rsid w:val="00F55D5B"/>
    <w:rsid w:val="00F56461"/>
    <w:rsid w:val="00F575DD"/>
    <w:rsid w:val="00F57FC9"/>
    <w:rsid w:val="00F62224"/>
    <w:rsid w:val="00F62CB9"/>
    <w:rsid w:val="00F6608A"/>
    <w:rsid w:val="00F700CC"/>
    <w:rsid w:val="00F70809"/>
    <w:rsid w:val="00F708A4"/>
    <w:rsid w:val="00F70D8C"/>
    <w:rsid w:val="00F71270"/>
    <w:rsid w:val="00F72C54"/>
    <w:rsid w:val="00F73F98"/>
    <w:rsid w:val="00F74058"/>
    <w:rsid w:val="00F771D9"/>
    <w:rsid w:val="00F776BF"/>
    <w:rsid w:val="00F77A6C"/>
    <w:rsid w:val="00F81230"/>
    <w:rsid w:val="00F81C3C"/>
    <w:rsid w:val="00F8224F"/>
    <w:rsid w:val="00F83238"/>
    <w:rsid w:val="00F84973"/>
    <w:rsid w:val="00F8529F"/>
    <w:rsid w:val="00F85EDB"/>
    <w:rsid w:val="00F902A2"/>
    <w:rsid w:val="00F90F5E"/>
    <w:rsid w:val="00F91D10"/>
    <w:rsid w:val="00F91D18"/>
    <w:rsid w:val="00F92AE1"/>
    <w:rsid w:val="00F92FBF"/>
    <w:rsid w:val="00F96C3D"/>
    <w:rsid w:val="00F97370"/>
    <w:rsid w:val="00FA19BB"/>
    <w:rsid w:val="00FA1EF7"/>
    <w:rsid w:val="00FA31E8"/>
    <w:rsid w:val="00FA3D37"/>
    <w:rsid w:val="00FA51DF"/>
    <w:rsid w:val="00FA653E"/>
    <w:rsid w:val="00FA66D3"/>
    <w:rsid w:val="00FA6E23"/>
    <w:rsid w:val="00FA712E"/>
    <w:rsid w:val="00FB04B0"/>
    <w:rsid w:val="00FB240B"/>
    <w:rsid w:val="00FB3C1C"/>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464A"/>
    <w:rsid w:val="00FE4DA6"/>
    <w:rsid w:val="00FE7320"/>
    <w:rsid w:val="00FE7A02"/>
    <w:rsid w:val="00FF066F"/>
    <w:rsid w:val="00FF1129"/>
    <w:rsid w:val="00FF11CF"/>
    <w:rsid w:val="00FF288B"/>
    <w:rsid w:val="00FF3BE5"/>
    <w:rsid w:val="00FF3DA6"/>
    <w:rsid w:val="00FF5A88"/>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15:docId w15:val="{3C322383-BA11-4179-BBD2-58F5BCC8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E9"/>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8446">
      <w:bodyDiv w:val="1"/>
      <w:marLeft w:val="0"/>
      <w:marRight w:val="0"/>
      <w:marTop w:val="0"/>
      <w:marBottom w:val="0"/>
      <w:divBdr>
        <w:top w:val="none" w:sz="0" w:space="0" w:color="auto"/>
        <w:left w:val="none" w:sz="0" w:space="0" w:color="auto"/>
        <w:bottom w:val="none" w:sz="0" w:space="0" w:color="auto"/>
        <w:right w:val="none" w:sz="0" w:space="0" w:color="auto"/>
      </w:divBdr>
    </w:div>
    <w:div w:id="1088888236">
      <w:bodyDiv w:val="1"/>
      <w:marLeft w:val="0"/>
      <w:marRight w:val="0"/>
      <w:marTop w:val="0"/>
      <w:marBottom w:val="0"/>
      <w:divBdr>
        <w:top w:val="none" w:sz="0" w:space="0" w:color="auto"/>
        <w:left w:val="none" w:sz="0" w:space="0" w:color="auto"/>
        <w:bottom w:val="none" w:sz="0" w:space="0" w:color="auto"/>
        <w:right w:val="none" w:sz="0" w:space="0" w:color="auto"/>
      </w:divBdr>
    </w:div>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04B-03A0-4741-95C5-B7A4889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5232</TotalTime>
  <Pages>3</Pages>
  <Words>1262</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 Chavazas</cp:lastModifiedBy>
  <cp:revision>1752</cp:revision>
  <dcterms:created xsi:type="dcterms:W3CDTF">2019-01-21T12:49:00Z</dcterms:created>
  <dcterms:modified xsi:type="dcterms:W3CDTF">2022-04-07T13:54:00Z</dcterms:modified>
</cp:coreProperties>
</file>