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7C" w:rsidRPr="007D417C" w:rsidRDefault="007D417C" w:rsidP="0058136C">
      <w:pPr>
        <w:spacing w:before="100" w:beforeAutospacing="1" w:after="0" w:line="240" w:lineRule="auto"/>
        <w:outlineLvl w:val="2"/>
        <w:rPr>
          <w:rFonts w:ascii="Arial" w:eastAsia="Times New Roman" w:hAnsi="Arial" w:cs="Arial"/>
          <w:b/>
          <w:color w:val="92D050"/>
          <w:lang w:eastAsia="fr-FR"/>
        </w:rPr>
      </w:pPr>
    </w:p>
    <w:p w:rsidR="007D417C" w:rsidRPr="007D417C" w:rsidRDefault="00973450" w:rsidP="007D417C">
      <w:pPr>
        <w:spacing w:after="0" w:line="240" w:lineRule="auto"/>
        <w:ind w:firstLine="708"/>
        <w:rPr>
          <w:rFonts w:ascii="Arial" w:eastAsia="Times New Roman" w:hAnsi="Arial" w:cs="Arial"/>
          <w:sz w:val="24"/>
          <w:szCs w:val="24"/>
          <w:lang w:eastAsia="fr-FR"/>
        </w:rPr>
      </w:pPr>
      <w:r>
        <w:rPr>
          <w:rFonts w:ascii="Arial" w:eastAsia="Times New Roman" w:hAnsi="Arial" w:cs="Arial"/>
          <w:noProof/>
          <w:sz w:val="24"/>
          <w:szCs w:val="24"/>
          <w:lang w:eastAsia="fr-FR"/>
        </w:rPr>
        <w:drawing>
          <wp:anchor distT="0" distB="0" distL="114300" distR="114300" simplePos="0" relativeHeight="251661312" behindDoc="1" locked="0" layoutInCell="1" allowOverlap="1" wp14:anchorId="452CB72A" wp14:editId="5F7B9588">
            <wp:simplePos x="0" y="0"/>
            <wp:positionH relativeFrom="margin">
              <wp:posOffset>1454400</wp:posOffset>
            </wp:positionH>
            <wp:positionV relativeFrom="paragraph">
              <wp:posOffset>1374565</wp:posOffset>
            </wp:positionV>
            <wp:extent cx="3776400" cy="1396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t logo corseco solidaire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6400" cy="1396800"/>
                    </a:xfrm>
                    <a:prstGeom prst="rect">
                      <a:avLst/>
                    </a:prstGeom>
                  </pic:spPr>
                </pic:pic>
              </a:graphicData>
            </a:graphic>
            <wp14:sizeRelH relativeFrom="margin">
              <wp14:pctWidth>0</wp14:pctWidth>
            </wp14:sizeRelH>
            <wp14:sizeRelV relativeFrom="margin">
              <wp14:pctHeight>0</wp14:pctHeight>
            </wp14:sizeRelV>
          </wp:anchor>
        </w:drawing>
      </w:r>
      <w:r w:rsidR="007D417C" w:rsidRPr="007D417C">
        <w:rPr>
          <w:rFonts w:ascii="Arial" w:eastAsia="Times New Roman" w:hAnsi="Arial" w:cs="Arial"/>
          <w:sz w:val="24"/>
          <w:szCs w:val="24"/>
          <w:lang w:eastAsia="fr-FR"/>
        </w:rPr>
        <w:t xml:space="preserve">    </w:t>
      </w:r>
      <w:r w:rsidR="007D417C" w:rsidRPr="007D417C">
        <w:rPr>
          <w:rFonts w:ascii="Arial" w:eastAsia="Times New Roman" w:hAnsi="Arial" w:cs="Arial"/>
          <w:b/>
          <w:noProof/>
          <w:color w:val="92D050"/>
          <w:lang w:eastAsia="fr-FR"/>
        </w:rPr>
        <w:drawing>
          <wp:inline distT="0" distB="0" distL="0" distR="0" wp14:anchorId="5BA196ED" wp14:editId="6127EC58">
            <wp:extent cx="1494693" cy="27882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DEC_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7718" cy="2812587"/>
                    </a:xfrm>
                    <a:prstGeom prst="rect">
                      <a:avLst/>
                    </a:prstGeom>
                  </pic:spPr>
                </pic:pic>
              </a:graphicData>
            </a:graphic>
          </wp:inline>
        </w:drawing>
      </w:r>
    </w:p>
    <w:p w:rsidR="007D417C" w:rsidRPr="007D417C" w:rsidRDefault="007D417C" w:rsidP="007D417C">
      <w:pPr>
        <w:spacing w:after="0" w:line="240" w:lineRule="auto"/>
        <w:jc w:val="both"/>
        <w:rPr>
          <w:rFonts w:ascii="Arial" w:eastAsia="Times New Roman" w:hAnsi="Arial" w:cs="Arial"/>
          <w:sz w:val="24"/>
          <w:szCs w:val="24"/>
          <w:lang w:eastAsia="fr-FR"/>
        </w:rPr>
      </w:pPr>
    </w:p>
    <w:p w:rsidR="007D417C" w:rsidRPr="007D417C" w:rsidRDefault="007D417C" w:rsidP="007D417C">
      <w:pPr>
        <w:spacing w:after="0" w:line="240" w:lineRule="auto"/>
        <w:jc w:val="both"/>
        <w:rPr>
          <w:rFonts w:ascii="Arial" w:eastAsia="Times New Roman" w:hAnsi="Arial" w:cs="Arial"/>
          <w:lang w:eastAsia="fr-FR"/>
        </w:rPr>
      </w:pPr>
    </w:p>
    <w:p w:rsidR="007D417C" w:rsidRPr="007D417C" w:rsidRDefault="007D417C" w:rsidP="007D417C">
      <w:pPr>
        <w:spacing w:after="0" w:line="240" w:lineRule="auto"/>
        <w:jc w:val="both"/>
        <w:rPr>
          <w:rFonts w:ascii="Arial" w:eastAsia="Times New Roman" w:hAnsi="Arial" w:cs="Arial"/>
          <w:lang w:eastAsia="fr-FR"/>
        </w:rPr>
      </w:pPr>
    </w:p>
    <w:p w:rsidR="007D417C" w:rsidRPr="007D417C" w:rsidRDefault="007D417C" w:rsidP="007D417C">
      <w:pPr>
        <w:spacing w:after="0" w:line="240" w:lineRule="auto"/>
        <w:jc w:val="both"/>
        <w:rPr>
          <w:rFonts w:ascii="Arial" w:eastAsia="Times New Roman" w:hAnsi="Arial" w:cs="Arial"/>
          <w:lang w:eastAsia="fr-FR"/>
        </w:rPr>
      </w:pPr>
    </w:p>
    <w:p w:rsidR="007D417C" w:rsidRPr="007D417C" w:rsidRDefault="007D417C" w:rsidP="007D417C">
      <w:pPr>
        <w:spacing w:after="0" w:line="240" w:lineRule="auto"/>
        <w:jc w:val="both"/>
        <w:rPr>
          <w:rFonts w:ascii="Arial" w:eastAsia="Times New Roman" w:hAnsi="Arial" w:cs="Arial"/>
          <w:lang w:eastAsia="fr-FR"/>
        </w:rPr>
      </w:pPr>
    </w:p>
    <w:p w:rsidR="00C21A92" w:rsidRPr="00FB0E78" w:rsidRDefault="00C21A92" w:rsidP="00C21A92">
      <w:pPr>
        <w:spacing w:after="0" w:line="240" w:lineRule="auto"/>
        <w:jc w:val="center"/>
        <w:outlineLvl w:val="2"/>
        <w:rPr>
          <w:rFonts w:ascii="Arial" w:eastAsia="Times New Roman" w:hAnsi="Arial" w:cs="Arial"/>
          <w:b/>
          <w:caps/>
          <w:color w:val="9646A4"/>
          <w:sz w:val="70"/>
          <w:szCs w:val="70"/>
          <w:lang w:eastAsia="fr-FR"/>
        </w:rPr>
      </w:pPr>
      <w:r w:rsidRPr="00FB0E78">
        <w:rPr>
          <w:rFonts w:ascii="Arial" w:eastAsia="Times New Roman" w:hAnsi="Arial" w:cs="Arial"/>
          <w:b/>
          <w:caps/>
          <w:color w:val="9646A4"/>
          <w:sz w:val="70"/>
          <w:szCs w:val="70"/>
          <w:lang w:eastAsia="fr-FR"/>
        </w:rPr>
        <w:t>QUATERNU DI E CARICHE</w:t>
      </w:r>
    </w:p>
    <w:p w:rsidR="00C21A92" w:rsidRPr="00FB0E78" w:rsidRDefault="00C21A92" w:rsidP="00C21A92">
      <w:pPr>
        <w:spacing w:after="0" w:line="240" w:lineRule="auto"/>
        <w:jc w:val="center"/>
        <w:outlineLvl w:val="2"/>
        <w:rPr>
          <w:rFonts w:ascii="Arial" w:eastAsia="Times New Roman" w:hAnsi="Arial" w:cs="Arial"/>
          <w:b/>
          <w:i/>
          <w:color w:val="9646A4"/>
          <w:sz w:val="62"/>
          <w:szCs w:val="62"/>
          <w:lang w:eastAsia="fr-FR"/>
        </w:rPr>
      </w:pPr>
      <w:r w:rsidRPr="00FB0E78">
        <w:rPr>
          <w:rFonts w:ascii="Arial" w:eastAsia="Times New Roman" w:hAnsi="Arial" w:cs="Arial"/>
          <w:b/>
          <w:i/>
          <w:caps/>
          <w:color w:val="9646A4"/>
          <w:sz w:val="62"/>
          <w:szCs w:val="62"/>
          <w:lang w:eastAsia="fr-FR"/>
        </w:rPr>
        <w:t>CAHIER DES CHARGES</w:t>
      </w:r>
    </w:p>
    <w:p w:rsidR="007D417C" w:rsidRPr="007D417C" w:rsidRDefault="00C21A92" w:rsidP="0073573D">
      <w:pPr>
        <w:spacing w:after="0" w:line="240" w:lineRule="auto"/>
        <w:jc w:val="center"/>
        <w:rPr>
          <w:rFonts w:ascii="Arial" w:eastAsia="Times New Roman" w:hAnsi="Arial" w:cs="Arial"/>
          <w:b/>
          <w:color w:val="000000" w:themeColor="text1"/>
          <w:sz w:val="36"/>
          <w:szCs w:val="28"/>
          <w:lang w:eastAsia="fr-FR"/>
        </w:rPr>
      </w:pPr>
      <w:r w:rsidRPr="0026307A">
        <w:rPr>
          <w:rFonts w:ascii="Times New Roman" w:eastAsia="Times New Roman" w:hAnsi="Times New Roman" w:cs="Times New Roman"/>
          <w:noProof/>
          <w:color w:val="9646A4"/>
          <w:sz w:val="56"/>
          <w:szCs w:val="76"/>
          <w:lang w:eastAsia="fr-FR"/>
        </w:rPr>
        <mc:AlternateContent>
          <mc:Choice Requires="wps">
            <w:drawing>
              <wp:anchor distT="0" distB="0" distL="114300" distR="114300" simplePos="0" relativeHeight="251663360" behindDoc="1" locked="0" layoutInCell="1" allowOverlap="1" wp14:anchorId="5F4C76CC" wp14:editId="13766B98">
                <wp:simplePos x="0" y="0"/>
                <wp:positionH relativeFrom="margin">
                  <wp:align>center</wp:align>
                </wp:positionH>
                <wp:positionV relativeFrom="paragraph">
                  <wp:posOffset>320675</wp:posOffset>
                </wp:positionV>
                <wp:extent cx="6710680" cy="3286125"/>
                <wp:effectExtent l="0" t="0" r="0" b="9525"/>
                <wp:wrapTight wrapText="bothSides">
                  <wp:wrapPolygon edited="0">
                    <wp:start x="1226" y="0"/>
                    <wp:lineTo x="858" y="250"/>
                    <wp:lineTo x="0" y="1628"/>
                    <wp:lineTo x="0" y="19033"/>
                    <wp:lineTo x="123" y="20035"/>
                    <wp:lineTo x="981" y="21537"/>
                    <wp:lineTo x="1165" y="21537"/>
                    <wp:lineTo x="20357" y="21537"/>
                    <wp:lineTo x="20541" y="21537"/>
                    <wp:lineTo x="21400" y="20285"/>
                    <wp:lineTo x="21522" y="19033"/>
                    <wp:lineTo x="21522" y="1628"/>
                    <wp:lineTo x="20664" y="250"/>
                    <wp:lineTo x="20296" y="0"/>
                    <wp:lineTo x="1226" y="0"/>
                  </wp:wrapPolygon>
                </wp:wrapTight>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0680" cy="3286125"/>
                        </a:xfrm>
                        <a:prstGeom prst="roundRect">
                          <a:avLst>
                            <a:gd name="adj" fmla="val 16667"/>
                          </a:avLst>
                        </a:prstGeom>
                        <a:solidFill>
                          <a:srgbClr val="9646A4"/>
                        </a:solidFill>
                        <a:ln w="9525">
                          <a:noFill/>
                          <a:round/>
                          <a:headEnd/>
                          <a:tailEnd/>
                        </a:ln>
                        <a:effectLst/>
                      </wps:spPr>
                      <wps:txbx>
                        <w:txbxContent>
                          <w:p w:rsidR="00C21A92" w:rsidRPr="00357342" w:rsidRDefault="00C21A92" w:rsidP="00C21A92">
                            <w:pPr>
                              <w:jc w:val="center"/>
                              <w:rPr>
                                <w:rFonts w:ascii="Arial" w:hAnsi="Arial" w:cs="Arial"/>
                                <w:b/>
                                <w:caps/>
                                <w:color w:val="FFFFFF" w:themeColor="background1"/>
                                <w:sz w:val="44"/>
                                <w:szCs w:val="28"/>
                              </w:rPr>
                            </w:pPr>
                            <w:r w:rsidRPr="00357342">
                              <w:rPr>
                                <w:rFonts w:ascii="Arial" w:hAnsi="Arial" w:cs="Arial"/>
                                <w:b/>
                                <w:caps/>
                                <w:color w:val="FFFFFF" w:themeColor="background1"/>
                                <w:sz w:val="44"/>
                                <w:szCs w:val="28"/>
                              </w:rPr>
                              <w:t xml:space="preserve">CHJAMA À PRUGETTI / </w:t>
                            </w:r>
                            <w:r w:rsidRPr="00357342">
                              <w:rPr>
                                <w:rFonts w:ascii="Arial" w:hAnsi="Arial" w:cs="Arial"/>
                                <w:b/>
                                <w:i/>
                                <w:caps/>
                                <w:color w:val="FFFFFF" w:themeColor="background1"/>
                                <w:sz w:val="36"/>
                                <w:szCs w:val="28"/>
                              </w:rPr>
                              <w:t>APPEL À PROJETS</w:t>
                            </w:r>
                            <w:r w:rsidRPr="00357342">
                              <w:rPr>
                                <w:rFonts w:ascii="Arial" w:hAnsi="Arial" w:cs="Arial"/>
                                <w:b/>
                                <w:caps/>
                                <w:color w:val="FFFFFF" w:themeColor="background1"/>
                                <w:sz w:val="36"/>
                                <w:szCs w:val="28"/>
                              </w:rPr>
                              <w:t xml:space="preserve"> </w:t>
                            </w:r>
                            <w:r w:rsidRPr="00357342">
                              <w:rPr>
                                <w:rFonts w:ascii="Arial" w:hAnsi="Arial" w:cs="Arial"/>
                                <w:b/>
                                <w:caps/>
                                <w:color w:val="FFFFFF" w:themeColor="background1"/>
                                <w:sz w:val="44"/>
                                <w:szCs w:val="28"/>
                              </w:rPr>
                              <w:t>ESS</w:t>
                            </w:r>
                          </w:p>
                          <w:p w:rsidR="00C21A92" w:rsidRPr="00C21A92" w:rsidRDefault="00C21A92" w:rsidP="00C21A92">
                            <w:pPr>
                              <w:pStyle w:val="NormalWeb"/>
                              <w:spacing w:after="0"/>
                              <w:jc w:val="center"/>
                              <w:textAlignment w:val="baseline"/>
                              <w:rPr>
                                <w:rFonts w:ascii="Arial" w:hAnsi="Arial" w:cs="Arial"/>
                                <w:b/>
                                <w:caps/>
                                <w:color w:val="FFFFFF" w:themeColor="background1"/>
                                <w:sz w:val="80"/>
                                <w:szCs w:val="80"/>
                              </w:rPr>
                            </w:pPr>
                            <w:r w:rsidRPr="00C21A92">
                              <w:rPr>
                                <w:rFonts w:ascii="Arial" w:hAnsi="Arial" w:cs="Arial"/>
                                <w:b/>
                                <w:caps/>
                                <w:color w:val="FFFFFF" w:themeColor="background1"/>
                                <w:sz w:val="80"/>
                                <w:szCs w:val="80"/>
                              </w:rPr>
                              <w:t>CONTRATS LOCAUX DE D</w:t>
                            </w:r>
                            <w:r w:rsidR="00A031B1">
                              <w:rPr>
                                <w:rFonts w:ascii="Arial" w:hAnsi="Arial" w:cs="Arial"/>
                                <w:b/>
                                <w:caps/>
                                <w:color w:val="FFFFFF" w:themeColor="background1"/>
                                <w:sz w:val="80"/>
                                <w:szCs w:val="80"/>
                              </w:rPr>
                              <w:t>É</w:t>
                            </w:r>
                            <w:r w:rsidRPr="00C21A92">
                              <w:rPr>
                                <w:rFonts w:ascii="Arial" w:hAnsi="Arial" w:cs="Arial"/>
                                <w:b/>
                                <w:caps/>
                                <w:color w:val="FFFFFF" w:themeColor="background1"/>
                                <w:sz w:val="80"/>
                                <w:szCs w:val="80"/>
                              </w:rPr>
                              <w:t>VELOPPEMENT DE L’</w:t>
                            </w:r>
                            <w:r w:rsidR="00A031B1">
                              <w:rPr>
                                <w:rFonts w:ascii="Arial" w:hAnsi="Arial" w:cs="Arial"/>
                                <w:b/>
                                <w:caps/>
                                <w:color w:val="FFFFFF" w:themeColor="background1"/>
                                <w:sz w:val="80"/>
                                <w:szCs w:val="80"/>
                              </w:rPr>
                              <w:t>É</w:t>
                            </w:r>
                            <w:r w:rsidRPr="00C21A92">
                              <w:rPr>
                                <w:rFonts w:ascii="Arial" w:hAnsi="Arial" w:cs="Arial"/>
                                <w:b/>
                                <w:caps/>
                                <w:color w:val="FFFFFF" w:themeColor="background1"/>
                                <w:sz w:val="80"/>
                                <w:szCs w:val="80"/>
                              </w:rPr>
                              <w:t>CONOMIE SOCIALE ET SOLIDAIRE (CLDESS)</w:t>
                            </w:r>
                          </w:p>
                          <w:p w:rsidR="00C21A92" w:rsidRDefault="00C21A92" w:rsidP="00C21A92">
                            <w:pPr>
                              <w:pStyle w:val="NormalWeb"/>
                              <w:spacing w:after="0"/>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5F4C76CC" id="AutoShape 8" o:spid="_x0000_s1026" style="position:absolute;left:0;text-align:left;margin-left:0;margin-top:25.25pt;width:528.4pt;height:258.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" fillcolor="#9646a4" stroked="f">
                <o:lock v:ext="edit" aspectratio="t"/>
                <v:textbox>
                  <w:txbxContent>
                    <w:p w:rsidR="00C21A92" w:rsidRPr="00357342" w:rsidRDefault="00C21A92" w:rsidP="00C21A92">
                      <w:pPr>
                        <w:jc w:val="center"/>
                        <w:rPr>
                          <w:rFonts w:ascii="Arial" w:hAnsi="Arial" w:cs="Arial"/>
                          <w:b/>
                          <w:caps/>
                          <w:color w:val="FFFFFF" w:themeColor="background1"/>
                          <w:sz w:val="44"/>
                          <w:szCs w:val="28"/>
                        </w:rPr>
                      </w:pPr>
                      <w:r w:rsidRPr="00357342">
                        <w:rPr>
                          <w:rFonts w:ascii="Arial" w:hAnsi="Arial" w:cs="Arial"/>
                          <w:b/>
                          <w:caps/>
                          <w:color w:val="FFFFFF" w:themeColor="background1"/>
                          <w:sz w:val="44"/>
                          <w:szCs w:val="28"/>
                        </w:rPr>
                        <w:t xml:space="preserve">CHJAMA À PRUGETTI / </w:t>
                      </w:r>
                      <w:r w:rsidRPr="00357342">
                        <w:rPr>
                          <w:rFonts w:ascii="Arial" w:hAnsi="Arial" w:cs="Arial"/>
                          <w:b/>
                          <w:i/>
                          <w:caps/>
                          <w:color w:val="FFFFFF" w:themeColor="background1"/>
                          <w:sz w:val="36"/>
                          <w:szCs w:val="28"/>
                        </w:rPr>
                        <w:t>APPEL À PROJETS</w:t>
                      </w:r>
                      <w:r w:rsidRPr="00357342">
                        <w:rPr>
                          <w:rFonts w:ascii="Arial" w:hAnsi="Arial" w:cs="Arial"/>
                          <w:b/>
                          <w:caps/>
                          <w:color w:val="FFFFFF" w:themeColor="background1"/>
                          <w:sz w:val="36"/>
                          <w:szCs w:val="28"/>
                        </w:rPr>
                        <w:t xml:space="preserve"> </w:t>
                      </w:r>
                      <w:r w:rsidRPr="00357342">
                        <w:rPr>
                          <w:rFonts w:ascii="Arial" w:hAnsi="Arial" w:cs="Arial"/>
                          <w:b/>
                          <w:caps/>
                          <w:color w:val="FFFFFF" w:themeColor="background1"/>
                          <w:sz w:val="44"/>
                          <w:szCs w:val="28"/>
                        </w:rPr>
                        <w:t>ESS</w:t>
                      </w:r>
                    </w:p>
                    <w:p w:rsidR="00C21A92" w:rsidRPr="00C21A92" w:rsidRDefault="00C21A92" w:rsidP="00C21A92">
                      <w:pPr>
                        <w:pStyle w:val="NormalWeb"/>
                        <w:spacing w:after="0"/>
                        <w:jc w:val="center"/>
                        <w:textAlignment w:val="baseline"/>
                        <w:rPr>
                          <w:rFonts w:ascii="Arial" w:hAnsi="Arial" w:cs="Arial"/>
                          <w:b/>
                          <w:caps/>
                          <w:color w:val="FFFFFF" w:themeColor="background1"/>
                          <w:sz w:val="80"/>
                          <w:szCs w:val="80"/>
                        </w:rPr>
                      </w:pPr>
                      <w:r w:rsidRPr="00C21A92">
                        <w:rPr>
                          <w:rFonts w:ascii="Arial" w:hAnsi="Arial" w:cs="Arial"/>
                          <w:b/>
                          <w:caps/>
                          <w:color w:val="FFFFFF" w:themeColor="background1"/>
                          <w:sz w:val="80"/>
                          <w:szCs w:val="80"/>
                        </w:rPr>
                        <w:t>CONTRATS LOCAUX DE D</w:t>
                      </w:r>
                      <w:r w:rsidR="00A031B1">
                        <w:rPr>
                          <w:rFonts w:ascii="Arial" w:hAnsi="Arial" w:cs="Arial"/>
                          <w:b/>
                          <w:caps/>
                          <w:color w:val="FFFFFF" w:themeColor="background1"/>
                          <w:sz w:val="80"/>
                          <w:szCs w:val="80"/>
                        </w:rPr>
                        <w:t>É</w:t>
                      </w:r>
                      <w:r w:rsidRPr="00C21A92">
                        <w:rPr>
                          <w:rFonts w:ascii="Arial" w:hAnsi="Arial" w:cs="Arial"/>
                          <w:b/>
                          <w:caps/>
                          <w:color w:val="FFFFFF" w:themeColor="background1"/>
                          <w:sz w:val="80"/>
                          <w:szCs w:val="80"/>
                        </w:rPr>
                        <w:t>VELOPPEMENT DE L’</w:t>
                      </w:r>
                      <w:r w:rsidR="00A031B1">
                        <w:rPr>
                          <w:rFonts w:ascii="Arial" w:hAnsi="Arial" w:cs="Arial"/>
                          <w:b/>
                          <w:caps/>
                          <w:color w:val="FFFFFF" w:themeColor="background1"/>
                          <w:sz w:val="80"/>
                          <w:szCs w:val="80"/>
                        </w:rPr>
                        <w:t>É</w:t>
                      </w:r>
                      <w:r w:rsidRPr="00C21A92">
                        <w:rPr>
                          <w:rFonts w:ascii="Arial" w:hAnsi="Arial" w:cs="Arial"/>
                          <w:b/>
                          <w:caps/>
                          <w:color w:val="FFFFFF" w:themeColor="background1"/>
                          <w:sz w:val="80"/>
                          <w:szCs w:val="80"/>
                        </w:rPr>
                        <w:t>CONOMIE SOCIALE ET SOLIDAIRE (CLDESS)</w:t>
                      </w:r>
                    </w:p>
                    <w:p w:rsidR="00C21A92" w:rsidRDefault="00C21A92" w:rsidP="00C21A92">
                      <w:pPr>
                        <w:pStyle w:val="NormalWeb"/>
                        <w:spacing w:after="0"/>
                        <w:textAlignment w:val="baseline"/>
                      </w:pPr>
                    </w:p>
                  </w:txbxContent>
                </v:textbox>
                <w10:wrap type="tight" anchorx="margin"/>
              </v:roundrect>
            </w:pict>
          </mc:Fallback>
        </mc:AlternateContent>
      </w:r>
    </w:p>
    <w:p w:rsidR="0058136C" w:rsidRDefault="0058136C" w:rsidP="007D417C">
      <w:pPr>
        <w:tabs>
          <w:tab w:val="left" w:pos="886"/>
        </w:tabs>
        <w:spacing w:after="0" w:line="240" w:lineRule="auto"/>
        <w:jc w:val="both"/>
        <w:rPr>
          <w:rFonts w:ascii="Tahoma" w:hAnsi="Tahoma" w:cs="Tahoma"/>
          <w:b/>
          <w:bCs/>
          <w:i/>
          <w:color w:val="9746A4"/>
        </w:rPr>
      </w:pPr>
      <w:r>
        <w:rPr>
          <w:rFonts w:ascii="Tahoma" w:hAnsi="Tahoma" w:cs="Tahoma"/>
          <w:b/>
          <w:bCs/>
          <w:i/>
          <w:color w:val="9746A4"/>
        </w:rPr>
        <w:br w:type="page"/>
      </w:r>
    </w:p>
    <w:p w:rsidR="007D417C" w:rsidRPr="007D417C" w:rsidRDefault="007D417C" w:rsidP="007D417C">
      <w:pPr>
        <w:tabs>
          <w:tab w:val="left" w:pos="886"/>
        </w:tabs>
        <w:spacing w:after="0" w:line="240" w:lineRule="auto"/>
        <w:jc w:val="both"/>
        <w:rPr>
          <w:rFonts w:ascii="Arial" w:eastAsia="Times New Roman" w:hAnsi="Arial" w:cs="Arial"/>
          <w:b/>
          <w:color w:val="000000" w:themeColor="text1"/>
          <w:sz w:val="36"/>
          <w:szCs w:val="28"/>
          <w:lang w:eastAsia="fr-FR"/>
        </w:rPr>
      </w:pPr>
      <w:bookmarkStart w:id="0" w:name="_GoBack"/>
      <w:bookmarkEnd w:id="0"/>
      <w:r w:rsidRPr="007D417C">
        <w:rPr>
          <w:rFonts w:ascii="Tahoma" w:hAnsi="Tahoma" w:cs="Tahoma"/>
          <w:b/>
          <w:bCs/>
          <w:i/>
          <w:color w:val="9746A4"/>
        </w:rPr>
        <w:lastRenderedPageBreak/>
        <w:t>En application de la délibération n°14/242 AC de l’Assemblée de Corse approuvant le deuxième plan régional de soutien au secteur de l’Economie Sociale et Solidaire, Cors ’Éco Solidaire 2.</w:t>
      </w:r>
    </w:p>
    <w:p w:rsidR="007D417C" w:rsidRPr="00875537" w:rsidRDefault="007D417C" w:rsidP="007D417C">
      <w:pPr>
        <w:spacing w:after="0" w:line="240" w:lineRule="auto"/>
        <w:jc w:val="both"/>
        <w:rPr>
          <w:rFonts w:ascii="Tahoma" w:hAnsi="Tahoma" w:cs="Tahoma"/>
          <w:b/>
          <w:bCs/>
          <w:i/>
          <w:color w:val="9746A4"/>
        </w:rPr>
      </w:pPr>
      <w:r w:rsidRPr="007D417C">
        <w:rPr>
          <w:rFonts w:ascii="Tahoma" w:hAnsi="Tahoma" w:cs="Tahoma"/>
          <w:b/>
          <w:bCs/>
          <w:i/>
          <w:color w:val="9746A4"/>
        </w:rPr>
        <w:t>Ce cahier des charges précise les modalités de mise en œuvre dans lesquelles s’ins</w:t>
      </w:r>
      <w:r w:rsidR="00875537">
        <w:rPr>
          <w:rFonts w:ascii="Tahoma" w:hAnsi="Tahoma" w:cs="Tahoma"/>
          <w:b/>
          <w:bCs/>
          <w:i/>
          <w:color w:val="9746A4"/>
        </w:rPr>
        <w:t>crivent l</w:t>
      </w:r>
      <w:r w:rsidRPr="00875537">
        <w:rPr>
          <w:rFonts w:ascii="Tahoma" w:hAnsi="Tahoma" w:cs="Tahoma"/>
          <w:b/>
          <w:bCs/>
          <w:i/>
          <w:color w:val="9746A4"/>
        </w:rPr>
        <w:t>es Contrats Locaux de Développement de l’Economie Sociale et Solidaire.</w:t>
      </w:r>
    </w:p>
    <w:p w:rsidR="0067574A" w:rsidRPr="00875537" w:rsidRDefault="0067574A" w:rsidP="0067574A">
      <w:pPr>
        <w:pStyle w:val="Textebrut"/>
        <w:jc w:val="both"/>
        <w:rPr>
          <w:rFonts w:ascii="Tahoma" w:hAnsi="Tahoma" w:cs="Tahoma"/>
          <w:b/>
          <w:bCs/>
          <w:i/>
          <w:color w:val="9746A4"/>
          <w:sz w:val="22"/>
          <w:szCs w:val="22"/>
        </w:rPr>
      </w:pPr>
    </w:p>
    <w:p w:rsidR="0073573D" w:rsidRPr="00611233" w:rsidRDefault="0073573D" w:rsidP="0073573D">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Scopi</w:t>
      </w:r>
      <w:proofErr w:type="spellEnd"/>
      <w:r>
        <w:rPr>
          <w:rFonts w:ascii="Tahoma" w:eastAsia="Times New Roman" w:hAnsi="Tahoma" w:cs="Tahoma"/>
          <w:b/>
          <w:bCs/>
          <w:color w:val="9746A4"/>
          <w:kern w:val="36"/>
          <w:sz w:val="24"/>
          <w:szCs w:val="24"/>
          <w:lang w:eastAsia="fr-FR"/>
        </w:rPr>
        <w:t xml:space="preserve"> / </w:t>
      </w:r>
      <w:r w:rsidRPr="0026307A">
        <w:rPr>
          <w:rFonts w:ascii="Tahoma" w:eastAsia="Times New Roman" w:hAnsi="Tahoma" w:cs="Tahoma"/>
          <w:b/>
          <w:bCs/>
          <w:i/>
          <w:color w:val="9746A4"/>
          <w:kern w:val="36"/>
          <w:sz w:val="20"/>
          <w:szCs w:val="24"/>
          <w:lang w:eastAsia="fr-FR"/>
        </w:rPr>
        <w:t xml:space="preserve">Objectifs </w:t>
      </w:r>
      <w:r w:rsidRPr="00611233">
        <w:rPr>
          <w:rFonts w:ascii="Tahoma" w:hAnsi="Tahoma" w:cs="Tahoma"/>
          <w:b/>
          <w:bCs/>
          <w:color w:val="7030A0"/>
          <w:sz w:val="24"/>
          <w:szCs w:val="24"/>
        </w:rPr>
        <w:t xml:space="preserve"> </w:t>
      </w:r>
    </w:p>
    <w:p w:rsidR="000E2D7F" w:rsidRPr="007D417C" w:rsidRDefault="000E2D7F" w:rsidP="0073573D">
      <w:pPr>
        <w:spacing w:after="0" w:line="240" w:lineRule="auto"/>
        <w:rPr>
          <w:rFonts w:ascii="Tahoma" w:hAnsi="Tahoma" w:cs="Tahoma"/>
          <w:sz w:val="24"/>
          <w:szCs w:val="24"/>
        </w:rPr>
      </w:pPr>
      <w:r w:rsidRPr="007D417C">
        <w:rPr>
          <w:rFonts w:ascii="Tahoma" w:hAnsi="Tahoma" w:cs="Tahoma"/>
          <w:sz w:val="24"/>
          <w:szCs w:val="24"/>
        </w:rPr>
        <w:t>Un CLDESS doit répondre à plusieurs objectifs :</w:t>
      </w:r>
    </w:p>
    <w:p w:rsidR="000E2D7F" w:rsidRPr="007D417C" w:rsidRDefault="000E2D7F" w:rsidP="00254AD8">
      <w:pPr>
        <w:numPr>
          <w:ilvl w:val="0"/>
          <w:numId w:val="8"/>
        </w:numPr>
        <w:spacing w:before="100" w:beforeAutospacing="1" w:after="100" w:afterAutospacing="1" w:line="240" w:lineRule="auto"/>
        <w:jc w:val="both"/>
        <w:rPr>
          <w:rFonts w:ascii="Tahoma" w:hAnsi="Tahoma" w:cs="Tahoma"/>
          <w:sz w:val="24"/>
          <w:szCs w:val="24"/>
        </w:rPr>
      </w:pPr>
      <w:r w:rsidRPr="007D417C">
        <w:rPr>
          <w:rFonts w:ascii="Tahoma" w:hAnsi="Tahoma" w:cs="Tahoma"/>
          <w:sz w:val="24"/>
          <w:szCs w:val="24"/>
        </w:rPr>
        <w:t>Appuyer un programme d'actions au niveau d’un territoire donné ;</w:t>
      </w:r>
    </w:p>
    <w:p w:rsidR="000E2D7F" w:rsidRPr="007D417C" w:rsidRDefault="000E2D7F" w:rsidP="00254AD8">
      <w:pPr>
        <w:numPr>
          <w:ilvl w:val="0"/>
          <w:numId w:val="8"/>
        </w:numPr>
        <w:spacing w:before="100" w:beforeAutospacing="1" w:after="100" w:afterAutospacing="1" w:line="240" w:lineRule="auto"/>
        <w:jc w:val="both"/>
        <w:rPr>
          <w:rFonts w:ascii="Tahoma" w:hAnsi="Tahoma" w:cs="Tahoma"/>
          <w:sz w:val="24"/>
          <w:szCs w:val="24"/>
        </w:rPr>
      </w:pPr>
      <w:r w:rsidRPr="007D417C">
        <w:rPr>
          <w:rFonts w:ascii="Tahoma" w:hAnsi="Tahoma" w:cs="Tahoma"/>
          <w:sz w:val="24"/>
          <w:szCs w:val="24"/>
        </w:rPr>
        <w:t xml:space="preserve">Appuyer la mise en œuvre de projets concrets, s’inscrivant dans les objectifs du plan </w:t>
      </w:r>
      <w:proofErr w:type="spellStart"/>
      <w:r w:rsidRPr="007D417C">
        <w:rPr>
          <w:rFonts w:ascii="Tahoma" w:hAnsi="Tahoma" w:cs="Tahoma"/>
          <w:sz w:val="24"/>
          <w:szCs w:val="24"/>
        </w:rPr>
        <w:t>Cors’Eco</w:t>
      </w:r>
      <w:proofErr w:type="spellEnd"/>
      <w:r w:rsidRPr="007D417C">
        <w:rPr>
          <w:rFonts w:ascii="Tahoma" w:hAnsi="Tahoma" w:cs="Tahoma"/>
          <w:sz w:val="24"/>
          <w:szCs w:val="24"/>
        </w:rPr>
        <w:t xml:space="preserve"> Solidaire 2 et portant sur l’animation locale et la sensibilisation aux valeurs de l’ESS, l’observation et la production de connaissance, la mise en cohérence et la mutualisation des ressources ou encore le soutien à la création d’activités économiques créatrices d’emplois ;</w:t>
      </w:r>
    </w:p>
    <w:p w:rsidR="000E2D7F" w:rsidRPr="007D417C" w:rsidRDefault="000E2D7F" w:rsidP="00254AD8">
      <w:pPr>
        <w:numPr>
          <w:ilvl w:val="0"/>
          <w:numId w:val="8"/>
        </w:numPr>
        <w:spacing w:before="100" w:beforeAutospacing="1" w:after="100" w:afterAutospacing="1" w:line="240" w:lineRule="auto"/>
        <w:jc w:val="both"/>
        <w:rPr>
          <w:rFonts w:ascii="Tahoma" w:hAnsi="Tahoma" w:cs="Tahoma"/>
          <w:sz w:val="24"/>
          <w:szCs w:val="24"/>
        </w:rPr>
      </w:pPr>
      <w:r w:rsidRPr="007D417C">
        <w:rPr>
          <w:rFonts w:ascii="Tahoma" w:hAnsi="Tahoma" w:cs="Tahoma"/>
          <w:sz w:val="24"/>
          <w:szCs w:val="24"/>
        </w:rPr>
        <w:t>Favoriser la mise au débat de la place de l’ESS dans les politiques publiques locales, sur des problématiques variées (logement, développement économique, emploi, solidarité, citoyenneté, éducation, environnement…).</w:t>
      </w:r>
    </w:p>
    <w:p w:rsidR="0073573D" w:rsidRPr="00F75EDD" w:rsidRDefault="0073573D" w:rsidP="0073573D">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Benefiziarii</w:t>
      </w:r>
      <w:proofErr w:type="spellEnd"/>
      <w:r>
        <w:rPr>
          <w:rFonts w:ascii="Tahoma" w:eastAsia="Times New Roman" w:hAnsi="Tahoma" w:cs="Tahoma"/>
          <w:b/>
          <w:bCs/>
          <w:color w:val="9746A4"/>
          <w:kern w:val="36"/>
          <w:sz w:val="24"/>
          <w:szCs w:val="24"/>
          <w:lang w:eastAsia="fr-FR"/>
        </w:rPr>
        <w:t xml:space="preserve"> / </w:t>
      </w:r>
      <w:r w:rsidRPr="0026307A">
        <w:rPr>
          <w:rFonts w:ascii="Tahoma" w:eastAsia="Times New Roman" w:hAnsi="Tahoma" w:cs="Tahoma"/>
          <w:b/>
          <w:bCs/>
          <w:i/>
          <w:color w:val="9746A4"/>
          <w:kern w:val="36"/>
          <w:sz w:val="20"/>
          <w:szCs w:val="24"/>
          <w:lang w:eastAsia="fr-FR"/>
        </w:rPr>
        <w:t xml:space="preserve">Bénéficiaires </w:t>
      </w:r>
    </w:p>
    <w:p w:rsidR="000E2D7F" w:rsidRPr="007D417C" w:rsidRDefault="000E2D7F" w:rsidP="000E2D7F">
      <w:pPr>
        <w:pStyle w:val="Textebrut"/>
        <w:jc w:val="both"/>
        <w:rPr>
          <w:rFonts w:ascii="Tahoma" w:hAnsi="Tahoma" w:cs="Tahoma"/>
          <w:sz w:val="24"/>
          <w:szCs w:val="24"/>
        </w:rPr>
      </w:pPr>
      <w:r w:rsidRPr="007D417C">
        <w:rPr>
          <w:rFonts w:ascii="Tahoma" w:hAnsi="Tahoma" w:cs="Tahoma"/>
          <w:sz w:val="24"/>
          <w:szCs w:val="24"/>
        </w:rPr>
        <w:t>Les collectivités locales : communes, groupements de communes, Etablissements Publics de Coopération Intercommunale.</w:t>
      </w:r>
    </w:p>
    <w:p w:rsidR="000E2D7F" w:rsidRPr="007D417C" w:rsidRDefault="000E2D7F" w:rsidP="000E2D7F">
      <w:pPr>
        <w:pStyle w:val="Textebrut"/>
        <w:jc w:val="both"/>
        <w:rPr>
          <w:rFonts w:ascii="Tahoma" w:hAnsi="Tahoma" w:cs="Tahoma"/>
          <w:sz w:val="24"/>
          <w:szCs w:val="24"/>
        </w:rPr>
      </w:pPr>
    </w:p>
    <w:p w:rsidR="000E2D7F" w:rsidRPr="007D417C" w:rsidRDefault="000E2D7F" w:rsidP="000E2D7F">
      <w:pPr>
        <w:pStyle w:val="Textebrut"/>
        <w:jc w:val="both"/>
        <w:rPr>
          <w:rFonts w:ascii="Tahoma" w:hAnsi="Tahoma" w:cs="Tahoma"/>
          <w:sz w:val="24"/>
          <w:szCs w:val="24"/>
        </w:rPr>
      </w:pPr>
      <w:r w:rsidRPr="007D417C">
        <w:rPr>
          <w:rFonts w:ascii="Tahoma" w:hAnsi="Tahoma" w:cs="Tahoma"/>
          <w:sz w:val="24"/>
          <w:szCs w:val="24"/>
        </w:rPr>
        <w:t>Les programmes d’action présentés doivent avoir pour objectif de sensibiliser et promouvoir l’entrepreneuriat social, d’accompagner et former les structures de l’ESS à l’innovation sociale et d’amorcer les démarches de mutualisation et d’échanges sur les territoires. Plus généralement, les initiatives doivent s’inscrire dans l’économie sociale et solidaire et répondre à un besoin social fort.</w:t>
      </w:r>
    </w:p>
    <w:p w:rsidR="000E2D7F" w:rsidRPr="007D417C" w:rsidRDefault="000E2D7F" w:rsidP="000E2D7F">
      <w:pPr>
        <w:pStyle w:val="Textebrut"/>
        <w:ind w:left="720"/>
        <w:jc w:val="both"/>
        <w:rPr>
          <w:rFonts w:ascii="Tahoma" w:hAnsi="Tahoma" w:cs="Tahoma"/>
          <w:b/>
          <w:sz w:val="24"/>
          <w:szCs w:val="24"/>
        </w:rPr>
      </w:pPr>
    </w:p>
    <w:p w:rsidR="0073573D" w:rsidRPr="005F43F4" w:rsidRDefault="0073573D" w:rsidP="0073573D">
      <w:pPr>
        <w:pBdr>
          <w:bottom w:val="single" w:sz="4" w:space="1" w:color="auto"/>
        </w:pBdr>
        <w:spacing w:after="0" w:line="240" w:lineRule="auto"/>
        <w:jc w:val="both"/>
        <w:outlineLvl w:val="0"/>
        <w:rPr>
          <w:rFonts w:ascii="Tahoma" w:hAnsi="Tahoma" w:cs="Tahoma"/>
          <w:b/>
          <w:bCs/>
          <w:color w:val="9746A4"/>
          <w:kern w:val="36"/>
        </w:rPr>
      </w:pPr>
      <w:proofErr w:type="spellStart"/>
      <w:r w:rsidRPr="0073573D">
        <w:rPr>
          <w:rFonts w:ascii="Tahoma" w:hAnsi="Tahoma" w:cs="Tahoma"/>
          <w:b/>
          <w:bCs/>
          <w:color w:val="9746A4"/>
          <w:kern w:val="36"/>
          <w:sz w:val="24"/>
        </w:rPr>
        <w:t>Mudalità</w:t>
      </w:r>
      <w:proofErr w:type="spellEnd"/>
      <w:r w:rsidRPr="0073573D">
        <w:rPr>
          <w:rFonts w:ascii="Tahoma" w:hAnsi="Tahoma" w:cs="Tahoma"/>
          <w:b/>
          <w:bCs/>
          <w:color w:val="9746A4"/>
          <w:kern w:val="36"/>
          <w:sz w:val="24"/>
        </w:rPr>
        <w:t xml:space="preserve"> di </w:t>
      </w:r>
      <w:proofErr w:type="spellStart"/>
      <w:r w:rsidRPr="0073573D">
        <w:rPr>
          <w:rFonts w:ascii="Tahoma" w:hAnsi="Tahoma" w:cs="Tahoma"/>
          <w:b/>
          <w:bCs/>
          <w:color w:val="9746A4"/>
          <w:kern w:val="36"/>
          <w:sz w:val="24"/>
        </w:rPr>
        <w:t>messa</w:t>
      </w:r>
      <w:proofErr w:type="spellEnd"/>
      <w:r w:rsidRPr="0073573D">
        <w:rPr>
          <w:rFonts w:ascii="Tahoma" w:hAnsi="Tahoma" w:cs="Tahoma"/>
          <w:b/>
          <w:bCs/>
          <w:color w:val="9746A4"/>
          <w:kern w:val="36"/>
          <w:sz w:val="24"/>
        </w:rPr>
        <w:t xml:space="preserve"> in </w:t>
      </w:r>
      <w:proofErr w:type="spellStart"/>
      <w:r w:rsidRPr="0073573D">
        <w:rPr>
          <w:rFonts w:ascii="Tahoma" w:hAnsi="Tahoma" w:cs="Tahoma"/>
          <w:b/>
          <w:bCs/>
          <w:color w:val="9746A4"/>
          <w:kern w:val="36"/>
          <w:sz w:val="24"/>
        </w:rPr>
        <w:t>opera</w:t>
      </w:r>
      <w:proofErr w:type="spellEnd"/>
      <w:r w:rsidRPr="0073573D">
        <w:rPr>
          <w:rFonts w:ascii="Tahoma" w:hAnsi="Tahoma" w:cs="Tahoma"/>
          <w:b/>
          <w:bCs/>
          <w:color w:val="9746A4"/>
          <w:kern w:val="36"/>
          <w:sz w:val="24"/>
        </w:rPr>
        <w:t xml:space="preserve"> </w:t>
      </w:r>
      <w:r>
        <w:rPr>
          <w:rFonts w:ascii="Tahoma" w:hAnsi="Tahoma" w:cs="Tahoma"/>
          <w:b/>
          <w:bCs/>
          <w:color w:val="9746A4"/>
          <w:kern w:val="36"/>
        </w:rPr>
        <w:t xml:space="preserve">/ </w:t>
      </w:r>
      <w:r w:rsidRPr="00FC76CB">
        <w:rPr>
          <w:rFonts w:ascii="Tahoma" w:hAnsi="Tahoma" w:cs="Tahoma"/>
          <w:b/>
          <w:bCs/>
          <w:i/>
          <w:color w:val="9746A4"/>
          <w:kern w:val="36"/>
          <w:sz w:val="20"/>
        </w:rPr>
        <w:t xml:space="preserve">Modalités de mise en œuvre </w:t>
      </w:r>
    </w:p>
    <w:p w:rsidR="000E2D7F" w:rsidRPr="007D417C" w:rsidRDefault="000E2D7F" w:rsidP="0073573D">
      <w:pPr>
        <w:spacing w:after="0" w:line="240" w:lineRule="auto"/>
        <w:jc w:val="both"/>
        <w:rPr>
          <w:rFonts w:ascii="Tahoma" w:hAnsi="Tahoma" w:cs="Tahoma"/>
          <w:sz w:val="24"/>
          <w:szCs w:val="24"/>
        </w:rPr>
      </w:pPr>
      <w:r w:rsidRPr="007D417C">
        <w:rPr>
          <w:rFonts w:ascii="Tahoma" w:hAnsi="Tahoma" w:cs="Tahoma"/>
          <w:sz w:val="24"/>
          <w:szCs w:val="24"/>
        </w:rPr>
        <w:t>Les aides sont versées sous forme de subvention.</w:t>
      </w:r>
    </w:p>
    <w:p w:rsidR="000E2D7F" w:rsidRPr="007D417C" w:rsidRDefault="000E2D7F" w:rsidP="0073573D">
      <w:pPr>
        <w:spacing w:after="0" w:line="240" w:lineRule="auto"/>
        <w:jc w:val="both"/>
        <w:rPr>
          <w:rFonts w:ascii="Tahoma" w:hAnsi="Tahoma" w:cs="Tahoma"/>
          <w:sz w:val="24"/>
          <w:szCs w:val="24"/>
        </w:rPr>
      </w:pPr>
      <w:r w:rsidRPr="007D417C">
        <w:rPr>
          <w:rFonts w:ascii="Tahoma" w:hAnsi="Tahoma" w:cs="Tahoma"/>
          <w:sz w:val="24"/>
          <w:szCs w:val="24"/>
        </w:rPr>
        <w:t>Pour bénéficier du soutien de la Collectivité Territoriale de Corse, les collectivités porteuses de la démarche doivent démontrer avoir entamé un travail collectif impliquant les entreprises de l’ESS, les acteurs socio-économiques, et les habitants du territoire concerné. Le partenariat avec la Collectivité Territoriale de Corse est conclu sur la base d’un plan d’actions partagé et validé par l’ensemble des acteurs concernés.</w:t>
      </w:r>
    </w:p>
    <w:p w:rsidR="0073573D" w:rsidRPr="0073573D" w:rsidRDefault="000E2D7F" w:rsidP="0073573D">
      <w:pPr>
        <w:spacing w:before="100" w:beforeAutospacing="1" w:after="100" w:afterAutospacing="1" w:line="240" w:lineRule="auto"/>
        <w:jc w:val="both"/>
        <w:rPr>
          <w:rFonts w:ascii="Tahoma" w:hAnsi="Tahoma" w:cs="Tahoma"/>
          <w:sz w:val="24"/>
          <w:szCs w:val="24"/>
        </w:rPr>
      </w:pPr>
      <w:r w:rsidRPr="007D417C">
        <w:rPr>
          <w:rFonts w:ascii="Tahoma" w:hAnsi="Tahoma" w:cs="Tahoma"/>
          <w:sz w:val="24"/>
          <w:szCs w:val="24"/>
        </w:rPr>
        <w:t>Les Contrats Locaux de Développement de l’ESS (CLDESS) ont une durée initiale de 3 ans. L’aide de la CTC peut porter dans un premier temps sur l’appui à l’émergence, à la constitution et à l’animation initiale du collectif d’acteurs, puis dans un second temps, sur la mise en place de projets et d’activités opérationnels. Les modalités et montants d’intervention régionale se définiront sur la base du plan d’action retenu.</w:t>
      </w:r>
    </w:p>
    <w:p w:rsidR="00392289" w:rsidRPr="0073573D" w:rsidRDefault="0073573D" w:rsidP="0073573D">
      <w:pPr>
        <w:pBdr>
          <w:bottom w:val="single" w:sz="4" w:space="1" w:color="auto"/>
        </w:pBdr>
        <w:autoSpaceDE w:val="0"/>
        <w:autoSpaceDN w:val="0"/>
        <w:adjustRightInd w:val="0"/>
        <w:spacing w:after="0" w:line="240" w:lineRule="auto"/>
        <w:jc w:val="both"/>
        <w:rPr>
          <w:rFonts w:ascii="Tahoma" w:eastAsia="Times New Roman" w:hAnsi="Tahoma" w:cs="Tahoma"/>
          <w:b/>
          <w:bCs/>
          <w:i/>
          <w:color w:val="9746A4"/>
          <w:kern w:val="36"/>
          <w:sz w:val="20"/>
          <w:szCs w:val="24"/>
          <w:lang w:eastAsia="fr-FR"/>
        </w:rPr>
      </w:pPr>
      <w:proofErr w:type="spellStart"/>
      <w:r>
        <w:rPr>
          <w:rFonts w:ascii="Tahoma" w:eastAsia="Times New Roman" w:hAnsi="Tahoma" w:cs="Tahoma"/>
          <w:b/>
          <w:bCs/>
          <w:color w:val="9746A4"/>
          <w:kern w:val="36"/>
          <w:sz w:val="24"/>
          <w:szCs w:val="24"/>
          <w:lang w:eastAsia="fr-FR"/>
        </w:rPr>
        <w:t>Calendariu</w:t>
      </w:r>
      <w:proofErr w:type="spellEnd"/>
      <w:r>
        <w:rPr>
          <w:rFonts w:ascii="Tahoma" w:eastAsia="Times New Roman" w:hAnsi="Tahoma" w:cs="Tahoma"/>
          <w:b/>
          <w:bCs/>
          <w:color w:val="9746A4"/>
          <w:kern w:val="36"/>
          <w:sz w:val="24"/>
          <w:szCs w:val="24"/>
          <w:lang w:eastAsia="fr-FR"/>
        </w:rPr>
        <w:t xml:space="preserve"> di a </w:t>
      </w:r>
      <w:proofErr w:type="spellStart"/>
      <w:r>
        <w:rPr>
          <w:rFonts w:ascii="Tahoma" w:eastAsia="Times New Roman" w:hAnsi="Tahoma" w:cs="Tahoma"/>
          <w:b/>
          <w:bCs/>
          <w:color w:val="9746A4"/>
          <w:kern w:val="36"/>
          <w:sz w:val="24"/>
          <w:szCs w:val="24"/>
          <w:lang w:eastAsia="fr-FR"/>
        </w:rPr>
        <w:t>chjama</w:t>
      </w:r>
      <w:proofErr w:type="spellEnd"/>
      <w:r>
        <w:rPr>
          <w:rFonts w:ascii="Tahoma" w:eastAsia="Times New Roman" w:hAnsi="Tahoma" w:cs="Tahoma"/>
          <w:b/>
          <w:bCs/>
          <w:color w:val="9746A4"/>
          <w:kern w:val="36"/>
          <w:sz w:val="24"/>
          <w:szCs w:val="24"/>
          <w:lang w:eastAsia="fr-FR"/>
        </w:rPr>
        <w:t xml:space="preserve"> à </w:t>
      </w:r>
      <w:proofErr w:type="spellStart"/>
      <w:r>
        <w:rPr>
          <w:rFonts w:ascii="Tahoma" w:eastAsia="Times New Roman" w:hAnsi="Tahoma" w:cs="Tahoma"/>
          <w:b/>
          <w:bCs/>
          <w:color w:val="9746A4"/>
          <w:kern w:val="36"/>
          <w:sz w:val="24"/>
          <w:szCs w:val="24"/>
          <w:lang w:eastAsia="fr-FR"/>
        </w:rPr>
        <w:t>prugetti</w:t>
      </w:r>
      <w:proofErr w:type="spellEnd"/>
      <w:r>
        <w:rPr>
          <w:rFonts w:ascii="Tahoma" w:eastAsia="Times New Roman" w:hAnsi="Tahoma" w:cs="Tahoma"/>
          <w:b/>
          <w:bCs/>
          <w:color w:val="9746A4"/>
          <w:kern w:val="36"/>
          <w:sz w:val="24"/>
          <w:szCs w:val="24"/>
          <w:lang w:eastAsia="fr-FR"/>
        </w:rPr>
        <w:t xml:space="preserve"> / </w:t>
      </w:r>
      <w:r w:rsidRPr="00492466">
        <w:rPr>
          <w:rFonts w:ascii="Tahoma" w:eastAsia="Times New Roman" w:hAnsi="Tahoma" w:cs="Tahoma"/>
          <w:b/>
          <w:bCs/>
          <w:i/>
          <w:color w:val="9746A4"/>
          <w:kern w:val="36"/>
          <w:sz w:val="20"/>
          <w:szCs w:val="24"/>
          <w:lang w:eastAsia="fr-FR"/>
        </w:rPr>
        <w:t>Calendrier de l’appel à projets</w:t>
      </w:r>
    </w:p>
    <w:p w:rsidR="007D417C" w:rsidRPr="0073573D" w:rsidRDefault="000E2D7F" w:rsidP="0073573D">
      <w:pPr>
        <w:jc w:val="both"/>
        <w:rPr>
          <w:rFonts w:ascii="Tahoma" w:hAnsi="Tahoma" w:cs="Tahoma"/>
          <w:sz w:val="24"/>
          <w:szCs w:val="24"/>
        </w:rPr>
      </w:pPr>
      <w:r w:rsidRPr="007D417C">
        <w:rPr>
          <w:rFonts w:ascii="Tahoma" w:hAnsi="Tahoma" w:cs="Tahoma"/>
          <w:sz w:val="24"/>
          <w:szCs w:val="24"/>
          <w:u w:val="single"/>
        </w:rPr>
        <w:t>Cet appel à projets est o</w:t>
      </w:r>
      <w:r w:rsidR="00392289">
        <w:rPr>
          <w:rFonts w:ascii="Tahoma" w:hAnsi="Tahoma" w:cs="Tahoma"/>
          <w:sz w:val="24"/>
          <w:szCs w:val="24"/>
          <w:u w:val="single"/>
        </w:rPr>
        <w:t xml:space="preserve">uvert jusqu’au 30 </w:t>
      </w:r>
      <w:r w:rsidR="006D1462">
        <w:rPr>
          <w:rFonts w:ascii="Tahoma" w:hAnsi="Tahoma" w:cs="Tahoma"/>
          <w:sz w:val="24"/>
          <w:szCs w:val="24"/>
          <w:u w:val="single"/>
        </w:rPr>
        <w:t>novembre 2016</w:t>
      </w:r>
      <w:r w:rsidRPr="007D417C">
        <w:rPr>
          <w:rFonts w:ascii="Tahoma" w:hAnsi="Tahoma" w:cs="Tahoma"/>
          <w:sz w:val="24"/>
          <w:szCs w:val="24"/>
        </w:rPr>
        <w:t xml:space="preserve">, date limite de dépôt du dossier de candidature. </w:t>
      </w:r>
    </w:p>
    <w:p w:rsidR="0073573D" w:rsidRPr="000027A2" w:rsidRDefault="0073573D" w:rsidP="0073573D">
      <w:pPr>
        <w:pBdr>
          <w:bottom w:val="single" w:sz="4" w:space="1" w:color="auto"/>
        </w:pBdr>
        <w:autoSpaceDE w:val="0"/>
        <w:autoSpaceDN w:val="0"/>
        <w:adjustRightInd w:val="0"/>
        <w:spacing w:after="0"/>
        <w:jc w:val="both"/>
        <w:rPr>
          <w:rFonts w:ascii="Tahoma" w:hAnsi="Tahoma" w:cs="Tahoma"/>
          <w:b/>
          <w:bCs/>
          <w:color w:val="9746A4"/>
          <w:kern w:val="36"/>
        </w:rPr>
      </w:pPr>
      <w:proofErr w:type="spellStart"/>
      <w:r>
        <w:rPr>
          <w:rFonts w:ascii="Tahoma" w:eastAsia="Times New Roman" w:hAnsi="Tahoma" w:cs="Tahoma"/>
          <w:b/>
          <w:bCs/>
          <w:color w:val="9746A4"/>
          <w:kern w:val="36"/>
          <w:sz w:val="24"/>
          <w:szCs w:val="24"/>
          <w:lang w:eastAsia="fr-FR"/>
        </w:rPr>
        <w:lastRenderedPageBreak/>
        <w:t>Instruzzione</w:t>
      </w:r>
      <w:proofErr w:type="spellEnd"/>
      <w:r>
        <w:rPr>
          <w:rFonts w:ascii="Tahoma" w:eastAsia="Times New Roman" w:hAnsi="Tahoma" w:cs="Tahoma"/>
          <w:b/>
          <w:bCs/>
          <w:color w:val="9746A4"/>
          <w:kern w:val="36"/>
          <w:sz w:val="24"/>
          <w:szCs w:val="24"/>
          <w:lang w:eastAsia="fr-FR"/>
        </w:rPr>
        <w:t xml:space="preserve"> è </w:t>
      </w:r>
      <w:proofErr w:type="spellStart"/>
      <w:r>
        <w:rPr>
          <w:rFonts w:ascii="Tahoma" w:eastAsia="Times New Roman" w:hAnsi="Tahoma" w:cs="Tahoma"/>
          <w:b/>
          <w:bCs/>
          <w:color w:val="9746A4"/>
          <w:kern w:val="36"/>
          <w:sz w:val="24"/>
          <w:szCs w:val="24"/>
          <w:lang w:eastAsia="fr-FR"/>
        </w:rPr>
        <w:t>mudalità</w:t>
      </w:r>
      <w:proofErr w:type="spellEnd"/>
      <w:r>
        <w:rPr>
          <w:rFonts w:ascii="Tahoma" w:eastAsia="Times New Roman" w:hAnsi="Tahoma" w:cs="Tahoma"/>
          <w:b/>
          <w:bCs/>
          <w:color w:val="9746A4"/>
          <w:kern w:val="36"/>
          <w:sz w:val="24"/>
          <w:szCs w:val="24"/>
          <w:lang w:eastAsia="fr-FR"/>
        </w:rPr>
        <w:t xml:space="preserve"> d’</w:t>
      </w:r>
      <w:proofErr w:type="spellStart"/>
      <w:r>
        <w:rPr>
          <w:rFonts w:ascii="Tahoma" w:eastAsia="Times New Roman" w:hAnsi="Tahoma" w:cs="Tahoma"/>
          <w:b/>
          <w:bCs/>
          <w:color w:val="9746A4"/>
          <w:kern w:val="36"/>
          <w:sz w:val="24"/>
          <w:szCs w:val="24"/>
          <w:lang w:eastAsia="fr-FR"/>
        </w:rPr>
        <w:t>attribuzione</w:t>
      </w:r>
      <w:proofErr w:type="spellEnd"/>
      <w:r>
        <w:rPr>
          <w:rFonts w:ascii="Tahoma" w:eastAsia="Times New Roman" w:hAnsi="Tahoma" w:cs="Tahoma"/>
          <w:b/>
          <w:bCs/>
          <w:color w:val="9746A4"/>
          <w:kern w:val="36"/>
          <w:sz w:val="24"/>
          <w:szCs w:val="24"/>
          <w:lang w:eastAsia="fr-FR"/>
        </w:rPr>
        <w:t xml:space="preserve"> / </w:t>
      </w:r>
      <w:r w:rsidRPr="00492466">
        <w:rPr>
          <w:rFonts w:ascii="Tahoma" w:eastAsia="Times New Roman" w:hAnsi="Tahoma" w:cs="Tahoma"/>
          <w:b/>
          <w:bCs/>
          <w:i/>
          <w:color w:val="9746A4"/>
          <w:kern w:val="36"/>
          <w:sz w:val="20"/>
          <w:szCs w:val="24"/>
          <w:lang w:eastAsia="fr-FR"/>
        </w:rPr>
        <w:t>Instruction et modalités d’attribution</w:t>
      </w:r>
    </w:p>
    <w:p w:rsidR="000E2D7F" w:rsidRPr="007D417C" w:rsidRDefault="000E2D7F" w:rsidP="000E2D7F">
      <w:pPr>
        <w:jc w:val="both"/>
        <w:rPr>
          <w:rFonts w:ascii="Tahoma" w:hAnsi="Tahoma" w:cs="Tahoma"/>
          <w:sz w:val="24"/>
          <w:szCs w:val="24"/>
        </w:rPr>
      </w:pPr>
      <w:r w:rsidRPr="007D417C">
        <w:rPr>
          <w:rFonts w:ascii="Tahoma" w:hAnsi="Tahoma" w:cs="Tahoma"/>
          <w:sz w:val="24"/>
          <w:szCs w:val="24"/>
        </w:rPr>
        <w:t>La demande est adressée sous forme de dossier type de demande de soutien financier au Président de l’ADEC. La date d’enregistrement du dossier par le</w:t>
      </w:r>
      <w:r w:rsidR="0058136C">
        <w:rPr>
          <w:rFonts w:ascii="Tahoma" w:hAnsi="Tahoma" w:cs="Tahoma"/>
          <w:sz w:val="24"/>
          <w:szCs w:val="24"/>
        </w:rPr>
        <w:t xml:space="preserve">s services de l’ADEC fait foi. </w:t>
      </w:r>
      <w:r w:rsidRPr="007D417C">
        <w:rPr>
          <w:rFonts w:ascii="Tahoma" w:hAnsi="Tahoma" w:cs="Tahoma"/>
          <w:sz w:val="24"/>
          <w:szCs w:val="24"/>
        </w:rPr>
        <w:t>L’éligibilité de la demande est vérifiée lors de l’instruction.</w:t>
      </w:r>
    </w:p>
    <w:p w:rsidR="000E2D7F" w:rsidRPr="007D417C" w:rsidRDefault="000E2D7F" w:rsidP="000E2D7F">
      <w:pPr>
        <w:jc w:val="both"/>
        <w:rPr>
          <w:rFonts w:ascii="Tahoma" w:hAnsi="Tahoma" w:cs="Tahoma"/>
          <w:sz w:val="24"/>
          <w:szCs w:val="24"/>
        </w:rPr>
      </w:pPr>
      <w:r w:rsidRPr="007D417C">
        <w:rPr>
          <w:rFonts w:ascii="Tahoma" w:hAnsi="Tahoma" w:cs="Tahoma"/>
          <w:sz w:val="24"/>
          <w:szCs w:val="24"/>
        </w:rPr>
        <w:t>L’instruction est réalisée par les services de l’ADEC. Lorsque le dossier est complet, le service instructeur élabore le rapport d’instruction. L’aide sera individualisée par le Conseil Exécutif de Corse après avis du Bureau de l’ADEC. Le Président du Conseil Exécutif de Corse notifie ensuite l’aide au bénéficiaire.</w:t>
      </w:r>
    </w:p>
    <w:p w:rsidR="000E2D7F" w:rsidRPr="007D417C" w:rsidRDefault="000E2D7F" w:rsidP="000E2D7F">
      <w:pPr>
        <w:spacing w:after="0" w:line="240" w:lineRule="auto"/>
        <w:jc w:val="both"/>
        <w:rPr>
          <w:rFonts w:ascii="Tahoma" w:hAnsi="Tahoma" w:cs="Tahoma"/>
          <w:sz w:val="24"/>
          <w:szCs w:val="24"/>
        </w:rPr>
      </w:pPr>
      <w:r w:rsidRPr="007D417C">
        <w:rPr>
          <w:rFonts w:ascii="Tahoma" w:hAnsi="Tahoma" w:cs="Tahoma"/>
          <w:sz w:val="24"/>
          <w:szCs w:val="24"/>
        </w:rPr>
        <w:t>Les modalités de liquidation de l’aide sont précisées dans la convention de paiement ou l’arrêté attributif de subvention sans toutefois excéder 50% de versement de l’aide à la signature de l’acte d’engagement.</w:t>
      </w:r>
    </w:p>
    <w:p w:rsidR="000E2D7F" w:rsidRPr="00A629C3" w:rsidRDefault="000E2D7F" w:rsidP="000E2D7F">
      <w:pPr>
        <w:rPr>
          <w:rFonts w:cs="Arial"/>
          <w:sz w:val="24"/>
          <w:szCs w:val="24"/>
        </w:rPr>
      </w:pPr>
    </w:p>
    <w:p w:rsidR="0067574A" w:rsidRPr="00AE2189" w:rsidRDefault="0067574A" w:rsidP="0067574A">
      <w:pPr>
        <w:pStyle w:val="Textebrut"/>
        <w:jc w:val="both"/>
        <w:rPr>
          <w:rFonts w:asciiTheme="minorHAnsi" w:hAnsiTheme="minorHAnsi" w:cs="Arial"/>
          <w:b/>
          <w:sz w:val="24"/>
          <w:szCs w:val="24"/>
        </w:rPr>
      </w:pPr>
    </w:p>
    <w:p w:rsidR="00B951FC" w:rsidRPr="00B0599D" w:rsidRDefault="00B951FC" w:rsidP="00B951FC">
      <w:pPr>
        <w:rPr>
          <w:color w:val="FF0000"/>
        </w:rPr>
      </w:pPr>
    </w:p>
    <w:sectPr w:rsidR="00B951FC" w:rsidRPr="00B059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5D" w:rsidRDefault="00AB315D" w:rsidP="0058136C">
      <w:pPr>
        <w:spacing w:after="0" w:line="240" w:lineRule="auto"/>
      </w:pPr>
      <w:r>
        <w:separator/>
      </w:r>
    </w:p>
  </w:endnote>
  <w:endnote w:type="continuationSeparator" w:id="0">
    <w:p w:rsidR="00AB315D" w:rsidRDefault="00AB315D" w:rsidP="0058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5D" w:rsidRDefault="00AB315D" w:rsidP="0058136C">
      <w:pPr>
        <w:spacing w:after="0" w:line="240" w:lineRule="auto"/>
      </w:pPr>
      <w:r>
        <w:separator/>
      </w:r>
    </w:p>
  </w:footnote>
  <w:footnote w:type="continuationSeparator" w:id="0">
    <w:p w:rsidR="00AB315D" w:rsidRDefault="00AB315D" w:rsidP="00581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8B7"/>
    <w:multiLevelType w:val="hybridMultilevel"/>
    <w:tmpl w:val="196ED0F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D053B78"/>
    <w:multiLevelType w:val="hybridMultilevel"/>
    <w:tmpl w:val="CE30B1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8224B"/>
    <w:multiLevelType w:val="hybridMultilevel"/>
    <w:tmpl w:val="B57A9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8E233B"/>
    <w:multiLevelType w:val="hybridMultilevel"/>
    <w:tmpl w:val="93269C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EE27CC"/>
    <w:multiLevelType w:val="multilevel"/>
    <w:tmpl w:val="DE4A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7201A"/>
    <w:multiLevelType w:val="multilevel"/>
    <w:tmpl w:val="752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84F4E"/>
    <w:multiLevelType w:val="hybridMultilevel"/>
    <w:tmpl w:val="9ADEE54A"/>
    <w:lvl w:ilvl="0" w:tplc="9F365F5A">
      <w:numFmt w:val="bullet"/>
      <w:lvlText w:val="-"/>
      <w:lvlJc w:val="left"/>
      <w:pPr>
        <w:tabs>
          <w:tab w:val="num" w:pos="720"/>
        </w:tabs>
        <w:ind w:left="720" w:hanging="360"/>
      </w:pPr>
      <w:rPr>
        <w:rFonts w:ascii="Verdana" w:eastAsia="Times New Roman" w:hAnsi="Verdan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7D5E57FC"/>
    <w:multiLevelType w:val="hybridMultilevel"/>
    <w:tmpl w:val="067891F0"/>
    <w:lvl w:ilvl="0" w:tplc="E0D84F14">
      <w:start w:val="2"/>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0"/>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D6"/>
    <w:rsid w:val="0003576C"/>
    <w:rsid w:val="00050D6A"/>
    <w:rsid w:val="000562AB"/>
    <w:rsid w:val="00092D54"/>
    <w:rsid w:val="000A2AC8"/>
    <w:rsid w:val="000B1258"/>
    <w:rsid w:val="000E04E4"/>
    <w:rsid w:val="000E2D7F"/>
    <w:rsid w:val="00101EA9"/>
    <w:rsid w:val="00115E91"/>
    <w:rsid w:val="00123AEA"/>
    <w:rsid w:val="00172311"/>
    <w:rsid w:val="0019728A"/>
    <w:rsid w:val="001B4609"/>
    <w:rsid w:val="001C5A01"/>
    <w:rsid w:val="001E2D50"/>
    <w:rsid w:val="00254AD8"/>
    <w:rsid w:val="0028701D"/>
    <w:rsid w:val="00294D0D"/>
    <w:rsid w:val="002C06B6"/>
    <w:rsid w:val="002C73E4"/>
    <w:rsid w:val="002E7CC5"/>
    <w:rsid w:val="002F16D8"/>
    <w:rsid w:val="00300772"/>
    <w:rsid w:val="00303553"/>
    <w:rsid w:val="0031497A"/>
    <w:rsid w:val="003352C9"/>
    <w:rsid w:val="00340D3A"/>
    <w:rsid w:val="00370DCF"/>
    <w:rsid w:val="00385AE6"/>
    <w:rsid w:val="00392289"/>
    <w:rsid w:val="003D38EC"/>
    <w:rsid w:val="003D529F"/>
    <w:rsid w:val="003D58A2"/>
    <w:rsid w:val="003D59BF"/>
    <w:rsid w:val="004214F7"/>
    <w:rsid w:val="00425A3B"/>
    <w:rsid w:val="00442557"/>
    <w:rsid w:val="0045249F"/>
    <w:rsid w:val="004530D0"/>
    <w:rsid w:val="00471548"/>
    <w:rsid w:val="00471AD7"/>
    <w:rsid w:val="004B18BB"/>
    <w:rsid w:val="004F5563"/>
    <w:rsid w:val="005423E3"/>
    <w:rsid w:val="00543399"/>
    <w:rsid w:val="00544736"/>
    <w:rsid w:val="00554E4C"/>
    <w:rsid w:val="0057656B"/>
    <w:rsid w:val="00580B47"/>
    <w:rsid w:val="0058136C"/>
    <w:rsid w:val="00585B60"/>
    <w:rsid w:val="00597C94"/>
    <w:rsid w:val="005B01DF"/>
    <w:rsid w:val="005C6819"/>
    <w:rsid w:val="006024CB"/>
    <w:rsid w:val="00613DA1"/>
    <w:rsid w:val="0064061A"/>
    <w:rsid w:val="006407E7"/>
    <w:rsid w:val="006446A0"/>
    <w:rsid w:val="00650520"/>
    <w:rsid w:val="00655883"/>
    <w:rsid w:val="0067574A"/>
    <w:rsid w:val="00697858"/>
    <w:rsid w:val="006A2036"/>
    <w:rsid w:val="006A317F"/>
    <w:rsid w:val="006C5810"/>
    <w:rsid w:val="006C5C84"/>
    <w:rsid w:val="006C794B"/>
    <w:rsid w:val="006D1462"/>
    <w:rsid w:val="006F031E"/>
    <w:rsid w:val="00704FC1"/>
    <w:rsid w:val="0071558A"/>
    <w:rsid w:val="00715C7B"/>
    <w:rsid w:val="00720939"/>
    <w:rsid w:val="0073573D"/>
    <w:rsid w:val="00741A26"/>
    <w:rsid w:val="00746228"/>
    <w:rsid w:val="00747C51"/>
    <w:rsid w:val="00762C5C"/>
    <w:rsid w:val="007654A4"/>
    <w:rsid w:val="00767618"/>
    <w:rsid w:val="007A5766"/>
    <w:rsid w:val="007C3766"/>
    <w:rsid w:val="007C3C71"/>
    <w:rsid w:val="007D417C"/>
    <w:rsid w:val="007D519C"/>
    <w:rsid w:val="007E7364"/>
    <w:rsid w:val="007F1E3D"/>
    <w:rsid w:val="007F30D1"/>
    <w:rsid w:val="0082474D"/>
    <w:rsid w:val="008334DA"/>
    <w:rsid w:val="00840A36"/>
    <w:rsid w:val="0084429E"/>
    <w:rsid w:val="00863B54"/>
    <w:rsid w:val="00875537"/>
    <w:rsid w:val="00894E0B"/>
    <w:rsid w:val="008A783F"/>
    <w:rsid w:val="008C019E"/>
    <w:rsid w:val="008D6E9E"/>
    <w:rsid w:val="008E22B1"/>
    <w:rsid w:val="008E3450"/>
    <w:rsid w:val="008E60A2"/>
    <w:rsid w:val="008E6826"/>
    <w:rsid w:val="008E7EC9"/>
    <w:rsid w:val="009006D4"/>
    <w:rsid w:val="00902DB2"/>
    <w:rsid w:val="00925A1B"/>
    <w:rsid w:val="009270F4"/>
    <w:rsid w:val="009413B9"/>
    <w:rsid w:val="0094606A"/>
    <w:rsid w:val="00957272"/>
    <w:rsid w:val="00961424"/>
    <w:rsid w:val="00962A33"/>
    <w:rsid w:val="00964332"/>
    <w:rsid w:val="00973450"/>
    <w:rsid w:val="00986E83"/>
    <w:rsid w:val="00991063"/>
    <w:rsid w:val="0099384A"/>
    <w:rsid w:val="0099433C"/>
    <w:rsid w:val="009A0B68"/>
    <w:rsid w:val="009A675F"/>
    <w:rsid w:val="009B63DD"/>
    <w:rsid w:val="009B6A47"/>
    <w:rsid w:val="009D1D7B"/>
    <w:rsid w:val="009E2268"/>
    <w:rsid w:val="009F4095"/>
    <w:rsid w:val="00A031B1"/>
    <w:rsid w:val="00A469AD"/>
    <w:rsid w:val="00AB315D"/>
    <w:rsid w:val="00AC377B"/>
    <w:rsid w:val="00AD405D"/>
    <w:rsid w:val="00B03C98"/>
    <w:rsid w:val="00B0599D"/>
    <w:rsid w:val="00B100E5"/>
    <w:rsid w:val="00B2043E"/>
    <w:rsid w:val="00B3368D"/>
    <w:rsid w:val="00B35BD7"/>
    <w:rsid w:val="00B44B06"/>
    <w:rsid w:val="00B44D36"/>
    <w:rsid w:val="00B60576"/>
    <w:rsid w:val="00B67C52"/>
    <w:rsid w:val="00B73626"/>
    <w:rsid w:val="00B82A35"/>
    <w:rsid w:val="00B951FC"/>
    <w:rsid w:val="00B96DD6"/>
    <w:rsid w:val="00BA61C6"/>
    <w:rsid w:val="00BB510A"/>
    <w:rsid w:val="00BC6EEC"/>
    <w:rsid w:val="00BD3B81"/>
    <w:rsid w:val="00BD6893"/>
    <w:rsid w:val="00BD7EE3"/>
    <w:rsid w:val="00BF74AC"/>
    <w:rsid w:val="00C171CF"/>
    <w:rsid w:val="00C21A92"/>
    <w:rsid w:val="00C2339F"/>
    <w:rsid w:val="00C31AFC"/>
    <w:rsid w:val="00C4288E"/>
    <w:rsid w:val="00C4778C"/>
    <w:rsid w:val="00C93590"/>
    <w:rsid w:val="00CA5227"/>
    <w:rsid w:val="00CB3174"/>
    <w:rsid w:val="00CD54CD"/>
    <w:rsid w:val="00CF103A"/>
    <w:rsid w:val="00D11B9A"/>
    <w:rsid w:val="00D93FB3"/>
    <w:rsid w:val="00DA528E"/>
    <w:rsid w:val="00DD4B13"/>
    <w:rsid w:val="00DF394D"/>
    <w:rsid w:val="00E17D88"/>
    <w:rsid w:val="00E22DDE"/>
    <w:rsid w:val="00E47ED2"/>
    <w:rsid w:val="00E74800"/>
    <w:rsid w:val="00E948AC"/>
    <w:rsid w:val="00E97995"/>
    <w:rsid w:val="00EE28A2"/>
    <w:rsid w:val="00EF6204"/>
    <w:rsid w:val="00F131AA"/>
    <w:rsid w:val="00F25C6B"/>
    <w:rsid w:val="00F45E68"/>
    <w:rsid w:val="00F503F5"/>
    <w:rsid w:val="00F60B4C"/>
    <w:rsid w:val="00F60F21"/>
    <w:rsid w:val="00F62F04"/>
    <w:rsid w:val="00F8510F"/>
    <w:rsid w:val="00FA1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4F5DC-2647-4A62-8CDD-1502DD4D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51FC"/>
    <w:pPr>
      <w:spacing w:after="200" w:line="276" w:lineRule="auto"/>
      <w:ind w:left="720"/>
      <w:contextualSpacing/>
    </w:pPr>
  </w:style>
  <w:style w:type="paragraph" w:styleId="Textebrut">
    <w:name w:val="Plain Text"/>
    <w:basedOn w:val="Normal"/>
    <w:link w:val="TextebrutCar"/>
    <w:uiPriority w:val="99"/>
    <w:unhideWhenUsed/>
    <w:rsid w:val="00B951F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951FC"/>
    <w:rPr>
      <w:rFonts w:ascii="Consolas" w:hAnsi="Consolas"/>
      <w:sz w:val="21"/>
      <w:szCs w:val="21"/>
    </w:rPr>
  </w:style>
  <w:style w:type="paragraph" w:styleId="NormalWeb">
    <w:name w:val="Normal (Web)"/>
    <w:basedOn w:val="Normal"/>
    <w:uiPriority w:val="99"/>
    <w:semiHidden/>
    <w:unhideWhenUsed/>
    <w:rsid w:val="007D417C"/>
    <w:rPr>
      <w:rFonts w:ascii="Times New Roman" w:hAnsi="Times New Roman" w:cs="Times New Roman"/>
      <w:sz w:val="24"/>
      <w:szCs w:val="24"/>
    </w:rPr>
  </w:style>
  <w:style w:type="paragraph" w:styleId="En-tte">
    <w:name w:val="header"/>
    <w:basedOn w:val="Normal"/>
    <w:link w:val="En-tteCar"/>
    <w:uiPriority w:val="99"/>
    <w:unhideWhenUsed/>
    <w:rsid w:val="0058136C"/>
    <w:pPr>
      <w:tabs>
        <w:tab w:val="center" w:pos="4536"/>
        <w:tab w:val="right" w:pos="9072"/>
      </w:tabs>
      <w:spacing w:after="0" w:line="240" w:lineRule="auto"/>
    </w:pPr>
  </w:style>
  <w:style w:type="character" w:customStyle="1" w:styleId="En-tteCar">
    <w:name w:val="En-tête Car"/>
    <w:basedOn w:val="Policepardfaut"/>
    <w:link w:val="En-tte"/>
    <w:uiPriority w:val="99"/>
    <w:rsid w:val="0058136C"/>
  </w:style>
  <w:style w:type="paragraph" w:styleId="Pieddepage">
    <w:name w:val="footer"/>
    <w:basedOn w:val="Normal"/>
    <w:link w:val="PieddepageCar"/>
    <w:uiPriority w:val="99"/>
    <w:unhideWhenUsed/>
    <w:rsid w:val="005813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ANTONETTI Bastia</dc:creator>
  <cp:keywords/>
  <dc:description/>
  <cp:lastModifiedBy>Roland FRIAS</cp:lastModifiedBy>
  <cp:revision>6</cp:revision>
  <dcterms:created xsi:type="dcterms:W3CDTF">2016-07-12T10:16:00Z</dcterms:created>
  <dcterms:modified xsi:type="dcterms:W3CDTF">2016-07-12T10:22:00Z</dcterms:modified>
</cp:coreProperties>
</file>